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宋体" w:cs="Times New Roman"/>
          <w:b/>
          <w:color w:val="000000" w:themeColor="text1"/>
          <w:sz w:val="84"/>
          <w:szCs w:val="84"/>
          <w:highlight w:val="none"/>
        </w:rPr>
      </w:pPr>
    </w:p>
    <w:p>
      <w:pPr>
        <w:jc w:val="center"/>
        <w:rPr>
          <w:rFonts w:ascii="Times New Roman" w:hAnsi="Times New Roman" w:eastAsia="黑体" w:cs="Times New Roman"/>
          <w:b/>
          <w:color w:val="000000" w:themeColor="text1"/>
          <w:sz w:val="96"/>
          <w:szCs w:val="84"/>
          <w:highlight w:val="none"/>
        </w:rPr>
      </w:pPr>
      <w:r>
        <w:rPr>
          <w:rFonts w:ascii="Times New Roman" w:hAnsi="Times New Roman" w:eastAsia="黑体" w:cs="Times New Roman"/>
          <w:b/>
          <w:color w:val="000000" w:themeColor="text1"/>
          <w:sz w:val="96"/>
          <w:szCs w:val="84"/>
          <w:highlight w:val="none"/>
        </w:rPr>
        <w:t>招标文件</w:t>
      </w:r>
    </w:p>
    <w:p>
      <w:pPr>
        <w:rPr>
          <w:rFonts w:ascii="Times New Roman" w:hAnsi="Times New Roman" w:eastAsia="黑体" w:cs="Times New Roman"/>
          <w:b/>
          <w:color w:val="000000" w:themeColor="text1"/>
          <w:sz w:val="32"/>
          <w:szCs w:val="32"/>
          <w:highlight w:val="none"/>
        </w:rPr>
      </w:pPr>
    </w:p>
    <w:p>
      <w:pPr>
        <w:rPr>
          <w:rFonts w:ascii="Times New Roman" w:hAnsi="Times New Roman" w:eastAsia="黑体" w:cs="Times New Roman"/>
          <w:b/>
          <w:color w:val="000000" w:themeColor="text1"/>
          <w:sz w:val="32"/>
          <w:szCs w:val="32"/>
          <w:highlight w:val="none"/>
        </w:rPr>
      </w:pPr>
    </w:p>
    <w:p>
      <w:pPr>
        <w:rPr>
          <w:rFonts w:ascii="Times New Roman" w:hAnsi="Times New Roman" w:eastAsia="黑体" w:cs="Times New Roman"/>
          <w:b/>
          <w:color w:val="000000" w:themeColor="text1"/>
          <w:sz w:val="32"/>
          <w:szCs w:val="32"/>
          <w:highlight w:val="none"/>
        </w:rPr>
      </w:pPr>
    </w:p>
    <w:p>
      <w:pPr>
        <w:rPr>
          <w:rFonts w:ascii="Times New Roman" w:hAnsi="Times New Roman" w:eastAsia="黑体" w:cs="Times New Roman"/>
          <w:b/>
          <w:color w:val="000000" w:themeColor="text1"/>
          <w:sz w:val="32"/>
          <w:szCs w:val="32"/>
          <w:highlight w:val="none"/>
        </w:rPr>
      </w:pPr>
    </w:p>
    <w:p>
      <w:pPr>
        <w:rPr>
          <w:rFonts w:ascii="Times New Roman" w:hAnsi="Times New Roman" w:eastAsia="黑体" w:cs="Times New Roman"/>
          <w:b/>
          <w:color w:val="000000" w:themeColor="text1"/>
          <w:sz w:val="32"/>
          <w:szCs w:val="32"/>
          <w:highlight w:val="none"/>
        </w:rPr>
      </w:pPr>
    </w:p>
    <w:p>
      <w:pPr>
        <w:rPr>
          <w:rFonts w:ascii="Times New Roman" w:hAnsi="Times New Roman" w:eastAsia="黑体" w:cs="Times New Roman"/>
          <w:b/>
          <w:color w:val="000000" w:themeColor="text1"/>
          <w:sz w:val="28"/>
          <w:szCs w:val="32"/>
          <w:highlight w:val="none"/>
        </w:rPr>
      </w:pPr>
      <w:r>
        <w:rPr>
          <w:rFonts w:ascii="Times New Roman" w:hAnsi="Times New Roman" w:eastAsia="黑体" w:cs="Times New Roman"/>
          <w:b/>
          <w:color w:val="000000" w:themeColor="text1"/>
          <w:sz w:val="28"/>
          <w:szCs w:val="32"/>
          <w:highlight w:val="none"/>
        </w:rPr>
        <w:t>项目名称：</w:t>
      </w:r>
      <w:r>
        <w:rPr>
          <w:rFonts w:hint="eastAsia" w:ascii="Times New Roman" w:hAnsi="Times New Roman" w:eastAsia="黑体" w:cs="Times New Roman"/>
          <w:b/>
          <w:color w:val="000000" w:themeColor="text1"/>
          <w:sz w:val="28"/>
          <w:szCs w:val="32"/>
          <w:highlight w:val="none"/>
        </w:rPr>
        <w:t xml:space="preserve">重庆银行借记金融IC卡采购项目 </w:t>
      </w:r>
    </w:p>
    <w:p>
      <w:pPr>
        <w:ind w:left="2530" w:hanging="2520" w:hangingChars="900"/>
        <w:rPr>
          <w:rFonts w:ascii="Times New Roman" w:hAnsi="Times New Roman" w:eastAsia="黑体" w:cs="Times New Roman"/>
          <w:b/>
          <w:color w:val="000000" w:themeColor="text1"/>
          <w:sz w:val="28"/>
          <w:szCs w:val="32"/>
          <w:highlight w:val="none"/>
        </w:rPr>
      </w:pPr>
    </w:p>
    <w:p>
      <w:pPr>
        <w:rPr>
          <w:rFonts w:ascii="Times New Roman" w:hAnsi="Times New Roman" w:eastAsia="黑体" w:cs="Times New Roman"/>
          <w:b/>
          <w:color w:val="000000" w:themeColor="text1"/>
          <w:sz w:val="28"/>
          <w:szCs w:val="32"/>
          <w:highlight w:val="none"/>
        </w:rPr>
      </w:pPr>
      <w:r>
        <w:rPr>
          <w:rFonts w:ascii="Times New Roman" w:hAnsi="Times New Roman" w:eastAsia="黑体" w:cs="Times New Roman"/>
          <w:b/>
          <w:color w:val="000000" w:themeColor="text1"/>
          <w:sz w:val="28"/>
          <w:szCs w:val="32"/>
          <w:highlight w:val="none"/>
        </w:rPr>
        <w:t>项目编号：</w:t>
      </w:r>
      <w:r>
        <w:rPr>
          <w:rFonts w:hint="eastAsia" w:ascii="Times New Roman" w:hAnsi="Times New Roman" w:eastAsia="黑体" w:cs="Times New Roman"/>
          <w:b/>
          <w:color w:val="000000" w:themeColor="text1"/>
          <w:sz w:val="28"/>
          <w:szCs w:val="32"/>
          <w:highlight w:val="none"/>
        </w:rPr>
        <w:t xml:space="preserve">0611-1900040633A  </w:t>
      </w:r>
    </w:p>
    <w:p>
      <w:pPr>
        <w:rPr>
          <w:rFonts w:ascii="Times New Roman" w:hAnsi="Times New Roman" w:eastAsia="黑体" w:cs="Times New Roman"/>
          <w:b/>
          <w:color w:val="000000" w:themeColor="text1"/>
          <w:sz w:val="28"/>
          <w:szCs w:val="32"/>
          <w:highlight w:val="none"/>
        </w:rPr>
      </w:pPr>
    </w:p>
    <w:p>
      <w:pPr>
        <w:rPr>
          <w:rFonts w:ascii="Times New Roman" w:hAnsi="Times New Roman" w:eastAsia="黑体" w:cs="Times New Roman"/>
          <w:b/>
          <w:color w:val="000000" w:themeColor="text1"/>
          <w:sz w:val="28"/>
          <w:szCs w:val="32"/>
          <w:highlight w:val="none"/>
        </w:rPr>
      </w:pPr>
    </w:p>
    <w:p>
      <w:pPr>
        <w:rPr>
          <w:rFonts w:ascii="Times New Roman" w:hAnsi="Times New Roman" w:eastAsia="黑体" w:cs="Times New Roman"/>
          <w:b/>
          <w:color w:val="000000" w:themeColor="text1"/>
          <w:sz w:val="28"/>
          <w:szCs w:val="32"/>
          <w:highlight w:val="none"/>
        </w:rPr>
      </w:pPr>
    </w:p>
    <w:p>
      <w:pPr>
        <w:ind w:firstLine="840" w:firstLineChars="300"/>
        <w:rPr>
          <w:rFonts w:ascii="Times New Roman" w:hAnsi="Times New Roman" w:eastAsia="黑体" w:cs="Times New Roman"/>
          <w:b/>
          <w:color w:val="000000" w:themeColor="text1"/>
          <w:sz w:val="28"/>
          <w:szCs w:val="32"/>
          <w:highlight w:val="none"/>
        </w:rPr>
      </w:pPr>
      <w:r>
        <w:rPr>
          <w:rFonts w:ascii="Times New Roman" w:hAnsi="Times New Roman" w:eastAsia="黑体" w:cs="Times New Roman"/>
          <w:b/>
          <w:color w:val="000000" w:themeColor="text1"/>
          <w:sz w:val="28"/>
          <w:szCs w:val="32"/>
          <w:highlight w:val="none"/>
        </w:rPr>
        <w:t>招　标　人：重庆银行股份有限公司</w:t>
      </w:r>
    </w:p>
    <w:p>
      <w:pPr>
        <w:ind w:firstLine="840" w:firstLineChars="300"/>
        <w:rPr>
          <w:rFonts w:ascii="Times New Roman" w:hAnsi="Times New Roman" w:eastAsia="黑体" w:cs="Times New Roman"/>
          <w:b/>
          <w:color w:val="000000" w:themeColor="text1"/>
          <w:sz w:val="28"/>
          <w:szCs w:val="32"/>
          <w:highlight w:val="none"/>
        </w:rPr>
      </w:pPr>
      <w:r>
        <w:rPr>
          <w:rFonts w:ascii="Times New Roman" w:hAnsi="Times New Roman" w:eastAsia="黑体" w:cs="Times New Roman"/>
          <w:b/>
          <w:color w:val="000000" w:themeColor="text1"/>
          <w:sz w:val="28"/>
          <w:szCs w:val="32"/>
          <w:highlight w:val="none"/>
        </w:rPr>
        <w:t>招标代理机构：重庆招标采购（集团）有限责任公司</w:t>
      </w:r>
    </w:p>
    <w:p>
      <w:pPr>
        <w:jc w:val="center"/>
        <w:rPr>
          <w:rFonts w:ascii="Times New Roman" w:hAnsi="Times New Roman" w:eastAsia="黑体" w:cs="Times New Roman"/>
          <w:b/>
          <w:color w:val="000000" w:themeColor="text1"/>
          <w:sz w:val="28"/>
          <w:szCs w:val="32"/>
          <w:highlight w:val="none"/>
        </w:rPr>
      </w:pPr>
    </w:p>
    <w:p>
      <w:pPr>
        <w:jc w:val="center"/>
        <w:rPr>
          <w:rFonts w:ascii="Times New Roman" w:hAnsi="Times New Roman" w:eastAsia="黑体" w:cs="Times New Roman"/>
          <w:b/>
          <w:color w:val="000000" w:themeColor="text1"/>
          <w:sz w:val="28"/>
          <w:szCs w:val="32"/>
          <w:highlight w:val="none"/>
        </w:rPr>
        <w:sectPr>
          <w:headerReference r:id="rId4" w:type="default"/>
          <w:footerReference r:id="rId5" w:type="default"/>
          <w:pgSz w:w="11906" w:h="16838"/>
          <w:pgMar w:top="1440" w:right="1466" w:bottom="1276" w:left="1800" w:header="851" w:footer="992" w:gutter="0"/>
          <w:cols w:space="720" w:num="1"/>
          <w:docGrid w:type="linesAndChars" w:linePitch="312" w:charSpace="0"/>
        </w:sectPr>
      </w:pPr>
      <w:r>
        <w:rPr>
          <w:rFonts w:ascii="Times New Roman" w:hAnsi="Times New Roman" w:eastAsia="黑体" w:cs="Times New Roman"/>
          <w:b/>
          <w:color w:val="000000" w:themeColor="text1"/>
          <w:sz w:val="28"/>
          <w:szCs w:val="32"/>
          <w:highlight w:val="none"/>
        </w:rPr>
        <w:t>201</w:t>
      </w:r>
      <w:r>
        <w:rPr>
          <w:rFonts w:hint="eastAsia" w:ascii="Times New Roman" w:hAnsi="Times New Roman" w:eastAsia="黑体" w:cs="Times New Roman"/>
          <w:b/>
          <w:color w:val="000000" w:themeColor="text1"/>
          <w:sz w:val="28"/>
          <w:szCs w:val="32"/>
          <w:highlight w:val="none"/>
        </w:rPr>
        <w:t>9</w:t>
      </w:r>
      <w:r>
        <w:rPr>
          <w:rFonts w:ascii="Times New Roman" w:hAnsi="Times New Roman" w:eastAsia="黑体" w:cs="Times New Roman"/>
          <w:b/>
          <w:color w:val="000000" w:themeColor="text1"/>
          <w:sz w:val="28"/>
          <w:szCs w:val="32"/>
          <w:highlight w:val="none"/>
        </w:rPr>
        <w:t>年</w:t>
      </w:r>
      <w:r>
        <w:rPr>
          <w:rFonts w:hint="eastAsia" w:ascii="Times New Roman" w:hAnsi="Times New Roman" w:eastAsia="黑体" w:cs="Times New Roman"/>
          <w:b/>
          <w:color w:val="000000" w:themeColor="text1"/>
          <w:sz w:val="28"/>
          <w:szCs w:val="32"/>
          <w:highlight w:val="none"/>
        </w:rPr>
        <w:t>10</w:t>
      </w:r>
      <w:r>
        <w:rPr>
          <w:rFonts w:ascii="Times New Roman" w:hAnsi="Times New Roman" w:eastAsia="黑体" w:cs="Times New Roman"/>
          <w:b/>
          <w:color w:val="000000" w:themeColor="text1"/>
          <w:sz w:val="28"/>
          <w:szCs w:val="32"/>
          <w:highlight w:val="none"/>
        </w:rPr>
        <w:t>月</w:t>
      </w:r>
    </w:p>
    <w:p>
      <w:pPr>
        <w:jc w:val="center"/>
        <w:rPr>
          <w:rFonts w:ascii="Times New Roman" w:hAnsi="Times New Roman" w:eastAsia="宋体" w:cs="Times New Roman"/>
          <w:color w:val="000000" w:themeColor="text1"/>
          <w:sz w:val="32"/>
          <w:szCs w:val="32"/>
          <w:highlight w:val="none"/>
        </w:rPr>
      </w:pPr>
    </w:p>
    <w:p>
      <w:pPr>
        <w:adjustRightInd w:val="0"/>
        <w:snapToGrid w:val="0"/>
        <w:spacing w:line="500" w:lineRule="atLeast"/>
        <w:jc w:val="center"/>
        <w:rPr>
          <w:rFonts w:ascii="Times New Roman" w:hAnsi="Times New Roman" w:eastAsia="黑体" w:cs="Times New Roman"/>
          <w:color w:val="000000" w:themeColor="text1"/>
          <w:sz w:val="36"/>
          <w:szCs w:val="36"/>
          <w:highlight w:val="none"/>
        </w:rPr>
      </w:pPr>
      <w:r>
        <w:rPr>
          <w:rFonts w:ascii="Times New Roman" w:hAnsi="Times New Roman" w:eastAsia="黑体" w:cs="Times New Roman"/>
          <w:b/>
          <w:color w:val="000000" w:themeColor="text1"/>
          <w:sz w:val="36"/>
          <w:szCs w:val="36"/>
          <w:highlight w:val="none"/>
        </w:rPr>
        <w:t>目录</w:t>
      </w:r>
    </w:p>
    <w:p>
      <w:pPr>
        <w:adjustRightInd w:val="0"/>
        <w:snapToGrid w:val="0"/>
        <w:spacing w:line="500" w:lineRule="atLeast"/>
        <w:jc w:val="center"/>
        <w:rPr>
          <w:rFonts w:ascii="Times New Roman" w:hAnsi="Times New Roman" w:eastAsia="黑体" w:cs="Times New Roman"/>
          <w:color w:val="000000" w:themeColor="text1"/>
          <w:sz w:val="36"/>
          <w:szCs w:val="36"/>
          <w:highlight w:val="none"/>
        </w:rPr>
      </w:pPr>
    </w:p>
    <w:p>
      <w:pPr>
        <w:tabs>
          <w:tab w:val="right" w:leader="dot" w:pos="8630"/>
        </w:tabs>
        <w:spacing w:before="120" w:after="120"/>
        <w:jc w:val="left"/>
        <w:rPr>
          <w:rFonts w:ascii="Calibri" w:hAnsi="Calibri" w:eastAsia="黑体" w:cs="Times New Roman"/>
          <w:color w:val="000000" w:themeColor="text1"/>
          <w:sz w:val="28"/>
          <w:highlight w:val="none"/>
        </w:rPr>
      </w:pPr>
      <w:r>
        <w:rPr>
          <w:rFonts w:ascii="Calibri" w:hAnsi="Calibri" w:eastAsia="宋体" w:cs="Times New Roman"/>
          <w:b/>
          <w:bCs/>
          <w:caps/>
          <w:color w:val="000000" w:themeColor="text1"/>
          <w:sz w:val="24"/>
          <w:szCs w:val="24"/>
          <w:highlight w:val="none"/>
        </w:rPr>
        <w:fldChar w:fldCharType="begin"/>
      </w:r>
      <w:r>
        <w:rPr>
          <w:rFonts w:ascii="Calibri" w:hAnsi="Calibri" w:eastAsia="宋体" w:cs="Times New Roman"/>
          <w:b/>
          <w:bCs/>
          <w:caps/>
          <w:color w:val="000000" w:themeColor="text1"/>
          <w:sz w:val="24"/>
          <w:szCs w:val="24"/>
          <w:highlight w:val="none"/>
        </w:rPr>
        <w:instrText xml:space="preserve"> TOC \o "1-1" \h \z </w:instrText>
      </w:r>
      <w:r>
        <w:rPr>
          <w:rFonts w:ascii="Calibri" w:hAnsi="Calibri" w:eastAsia="宋体" w:cs="Times New Roman"/>
          <w:b/>
          <w:bCs/>
          <w:caps/>
          <w:color w:val="000000" w:themeColor="text1"/>
          <w:sz w:val="24"/>
          <w:szCs w:val="24"/>
          <w:highlight w:val="none"/>
        </w:rPr>
        <w:fldChar w:fldCharType="separate"/>
      </w:r>
      <w:r>
        <w:rPr>
          <w:color w:val="000000" w:themeColor="text1"/>
          <w:highlight w:val="none"/>
        </w:rPr>
        <w:fldChar w:fldCharType="begin"/>
      </w:r>
      <w:r>
        <w:rPr>
          <w:color w:val="000000" w:themeColor="text1"/>
          <w:highlight w:val="none"/>
        </w:rPr>
        <w:instrText xml:space="preserve"> HYPERLINK \l "_Toc489972849" </w:instrText>
      </w:r>
      <w:r>
        <w:rPr>
          <w:color w:val="000000" w:themeColor="text1"/>
          <w:highlight w:val="none"/>
        </w:rPr>
        <w:fldChar w:fldCharType="separate"/>
      </w:r>
      <w:r>
        <w:rPr>
          <w:rFonts w:hint="eastAsia" w:ascii="Times New Roman" w:hAnsi="Times New Roman" w:eastAsia="黑体" w:cs="Times New Roman"/>
          <w:b/>
          <w:bCs/>
          <w:caps/>
          <w:color w:val="000000" w:themeColor="text1"/>
          <w:sz w:val="24"/>
          <w:szCs w:val="20"/>
          <w:highlight w:val="none"/>
          <w:u w:val="single"/>
        </w:rPr>
        <w:t>第一章招标公告</w:t>
      </w:r>
      <w:r>
        <w:rPr>
          <w:rFonts w:ascii="Calibri" w:hAnsi="Calibri" w:eastAsia="黑体" w:cs="Times New Roman"/>
          <w:b/>
          <w:bCs/>
          <w:caps/>
          <w:color w:val="000000" w:themeColor="text1"/>
          <w:sz w:val="24"/>
          <w:szCs w:val="20"/>
          <w:highlight w:val="none"/>
        </w:rPr>
        <w:tab/>
      </w:r>
      <w:r>
        <w:rPr>
          <w:rFonts w:ascii="Calibri" w:hAnsi="Calibri" w:eastAsia="黑体" w:cs="Times New Roman"/>
          <w:b/>
          <w:bCs/>
          <w:caps/>
          <w:color w:val="000000" w:themeColor="text1"/>
          <w:sz w:val="24"/>
          <w:szCs w:val="20"/>
          <w:highlight w:val="none"/>
        </w:rPr>
        <w:fldChar w:fldCharType="begin"/>
      </w:r>
      <w:r>
        <w:rPr>
          <w:rFonts w:ascii="Calibri" w:hAnsi="Calibri" w:eastAsia="黑体" w:cs="Times New Roman"/>
          <w:b/>
          <w:bCs/>
          <w:caps/>
          <w:color w:val="000000" w:themeColor="text1"/>
          <w:sz w:val="24"/>
          <w:szCs w:val="20"/>
          <w:highlight w:val="none"/>
        </w:rPr>
        <w:instrText xml:space="preserve"> PAGEREF _Toc489972849 \h </w:instrText>
      </w:r>
      <w:r>
        <w:rPr>
          <w:rFonts w:ascii="Calibri" w:hAnsi="Calibri" w:eastAsia="黑体" w:cs="Times New Roman"/>
          <w:b/>
          <w:bCs/>
          <w:caps/>
          <w:color w:val="000000" w:themeColor="text1"/>
          <w:sz w:val="24"/>
          <w:szCs w:val="20"/>
          <w:highlight w:val="none"/>
        </w:rPr>
        <w:fldChar w:fldCharType="separate"/>
      </w:r>
      <w:r>
        <w:rPr>
          <w:rFonts w:ascii="Calibri" w:hAnsi="Calibri" w:eastAsia="黑体" w:cs="Times New Roman"/>
          <w:b/>
          <w:bCs/>
          <w:caps/>
          <w:color w:val="000000" w:themeColor="text1"/>
          <w:sz w:val="24"/>
          <w:szCs w:val="20"/>
          <w:highlight w:val="none"/>
        </w:rPr>
        <w:t>1</w:t>
      </w:r>
      <w:r>
        <w:rPr>
          <w:rFonts w:ascii="Calibri" w:hAnsi="Calibri" w:eastAsia="黑体" w:cs="Times New Roman"/>
          <w:b/>
          <w:bCs/>
          <w:caps/>
          <w:color w:val="000000" w:themeColor="text1"/>
          <w:sz w:val="24"/>
          <w:szCs w:val="20"/>
          <w:highlight w:val="none"/>
        </w:rPr>
        <w:fldChar w:fldCharType="end"/>
      </w:r>
      <w:r>
        <w:rPr>
          <w:rFonts w:ascii="Calibri" w:hAnsi="Calibri" w:eastAsia="黑体" w:cs="Times New Roman"/>
          <w:b/>
          <w:bCs/>
          <w:caps/>
          <w:color w:val="000000" w:themeColor="text1"/>
          <w:sz w:val="24"/>
          <w:szCs w:val="20"/>
          <w:highlight w:val="none"/>
        </w:rPr>
        <w:fldChar w:fldCharType="end"/>
      </w:r>
    </w:p>
    <w:p>
      <w:pPr>
        <w:tabs>
          <w:tab w:val="right" w:leader="dot" w:pos="8630"/>
        </w:tabs>
        <w:spacing w:before="120" w:after="120"/>
        <w:jc w:val="left"/>
        <w:rPr>
          <w:rFonts w:ascii="Calibri" w:hAnsi="Calibri" w:eastAsia="黑体" w:cs="Times New Roman"/>
          <w:color w:val="000000" w:themeColor="text1"/>
          <w:sz w:val="28"/>
          <w:highlight w:val="none"/>
        </w:rPr>
      </w:pPr>
      <w:r>
        <w:rPr>
          <w:color w:val="000000" w:themeColor="text1"/>
          <w:highlight w:val="none"/>
        </w:rPr>
        <w:fldChar w:fldCharType="begin"/>
      </w:r>
      <w:r>
        <w:rPr>
          <w:color w:val="000000" w:themeColor="text1"/>
          <w:highlight w:val="none"/>
        </w:rPr>
        <w:instrText xml:space="preserve"> HYPERLINK \l "_Toc489972850" </w:instrText>
      </w:r>
      <w:r>
        <w:rPr>
          <w:color w:val="000000" w:themeColor="text1"/>
          <w:highlight w:val="none"/>
        </w:rPr>
        <w:fldChar w:fldCharType="separate"/>
      </w:r>
      <w:r>
        <w:rPr>
          <w:rFonts w:hint="eastAsia" w:ascii="Times New Roman" w:hAnsi="Times New Roman" w:eastAsia="黑体" w:cs="Times New Roman"/>
          <w:b/>
          <w:bCs/>
          <w:caps/>
          <w:color w:val="000000" w:themeColor="text1"/>
          <w:sz w:val="24"/>
          <w:szCs w:val="20"/>
          <w:highlight w:val="none"/>
          <w:u w:val="single"/>
        </w:rPr>
        <w:t>第二章投标人须知</w:t>
      </w:r>
      <w:r>
        <w:rPr>
          <w:rFonts w:ascii="Calibri" w:hAnsi="Calibri" w:eastAsia="黑体" w:cs="Times New Roman"/>
          <w:b/>
          <w:bCs/>
          <w:caps/>
          <w:color w:val="000000" w:themeColor="text1"/>
          <w:sz w:val="24"/>
          <w:szCs w:val="20"/>
          <w:highlight w:val="none"/>
        </w:rPr>
        <w:tab/>
      </w:r>
      <w:r>
        <w:rPr>
          <w:rFonts w:ascii="Calibri" w:hAnsi="Calibri" w:eastAsia="黑体" w:cs="Times New Roman"/>
          <w:b/>
          <w:bCs/>
          <w:caps/>
          <w:color w:val="000000" w:themeColor="text1"/>
          <w:sz w:val="24"/>
          <w:szCs w:val="20"/>
          <w:highlight w:val="none"/>
        </w:rPr>
        <w:fldChar w:fldCharType="end"/>
      </w:r>
      <w:r>
        <w:rPr>
          <w:rFonts w:hint="eastAsia" w:ascii="Calibri" w:hAnsi="Calibri" w:eastAsia="黑体" w:cs="Times New Roman"/>
          <w:b/>
          <w:bCs/>
          <w:caps/>
          <w:color w:val="000000" w:themeColor="text1"/>
          <w:sz w:val="24"/>
          <w:szCs w:val="20"/>
          <w:highlight w:val="none"/>
        </w:rPr>
        <w:t>4</w:t>
      </w:r>
    </w:p>
    <w:p>
      <w:pPr>
        <w:tabs>
          <w:tab w:val="right" w:leader="dot" w:pos="8630"/>
        </w:tabs>
        <w:spacing w:before="120" w:after="120"/>
        <w:jc w:val="left"/>
        <w:rPr>
          <w:rFonts w:ascii="Calibri" w:hAnsi="Calibri" w:eastAsia="黑体" w:cs="Times New Roman"/>
          <w:color w:val="000000" w:themeColor="text1"/>
          <w:sz w:val="28"/>
          <w:highlight w:val="none"/>
        </w:rPr>
      </w:pPr>
      <w:r>
        <w:rPr>
          <w:color w:val="000000" w:themeColor="text1"/>
          <w:highlight w:val="none"/>
        </w:rPr>
        <w:fldChar w:fldCharType="begin"/>
      </w:r>
      <w:r>
        <w:rPr>
          <w:color w:val="000000" w:themeColor="text1"/>
          <w:highlight w:val="none"/>
        </w:rPr>
        <w:instrText xml:space="preserve"> HYPERLINK \l "_Toc489972851" </w:instrText>
      </w:r>
      <w:r>
        <w:rPr>
          <w:color w:val="000000" w:themeColor="text1"/>
          <w:highlight w:val="none"/>
        </w:rPr>
        <w:fldChar w:fldCharType="separate"/>
      </w:r>
      <w:r>
        <w:rPr>
          <w:rFonts w:hint="eastAsia" w:ascii="Times New Roman" w:hAnsi="Times New Roman" w:eastAsia="黑体" w:cs="Times New Roman"/>
          <w:b/>
          <w:bCs/>
          <w:caps/>
          <w:color w:val="000000" w:themeColor="text1"/>
          <w:sz w:val="24"/>
          <w:szCs w:val="20"/>
          <w:highlight w:val="none"/>
          <w:u w:val="single"/>
        </w:rPr>
        <w:t>第三章评标方法</w:t>
      </w:r>
      <w:r>
        <w:rPr>
          <w:rFonts w:ascii="Calibri" w:hAnsi="Calibri" w:eastAsia="黑体" w:cs="Times New Roman"/>
          <w:b/>
          <w:bCs/>
          <w:caps/>
          <w:color w:val="000000" w:themeColor="text1"/>
          <w:sz w:val="24"/>
          <w:szCs w:val="20"/>
          <w:highlight w:val="none"/>
        </w:rPr>
        <w:tab/>
      </w:r>
      <w:r>
        <w:rPr>
          <w:rFonts w:hint="eastAsia" w:ascii="Calibri" w:hAnsi="Calibri" w:eastAsia="黑体" w:cs="Times New Roman"/>
          <w:b/>
          <w:bCs/>
          <w:caps/>
          <w:color w:val="000000" w:themeColor="text1"/>
          <w:sz w:val="24"/>
          <w:szCs w:val="20"/>
          <w:highlight w:val="none"/>
        </w:rPr>
        <w:t>2</w:t>
      </w:r>
      <w:r>
        <w:rPr>
          <w:rFonts w:hint="eastAsia" w:ascii="Calibri" w:hAnsi="Calibri" w:eastAsia="黑体" w:cs="Times New Roman"/>
          <w:b/>
          <w:bCs/>
          <w:caps/>
          <w:color w:val="000000" w:themeColor="text1"/>
          <w:sz w:val="24"/>
          <w:szCs w:val="20"/>
          <w:highlight w:val="none"/>
        </w:rPr>
        <w:fldChar w:fldCharType="end"/>
      </w:r>
      <w:r>
        <w:rPr>
          <w:rFonts w:hint="eastAsia" w:ascii="Calibri" w:hAnsi="Calibri" w:eastAsia="黑体" w:cs="Times New Roman"/>
          <w:b/>
          <w:bCs/>
          <w:caps/>
          <w:color w:val="000000" w:themeColor="text1"/>
          <w:sz w:val="24"/>
          <w:szCs w:val="20"/>
          <w:highlight w:val="none"/>
        </w:rPr>
        <w:t>2</w:t>
      </w:r>
    </w:p>
    <w:p>
      <w:pPr>
        <w:tabs>
          <w:tab w:val="right" w:leader="dot" w:pos="8630"/>
        </w:tabs>
        <w:spacing w:before="120" w:after="120"/>
        <w:jc w:val="left"/>
        <w:rPr>
          <w:rFonts w:ascii="Calibri" w:hAnsi="Calibri" w:eastAsia="黑体" w:cs="Times New Roman"/>
          <w:color w:val="000000" w:themeColor="text1"/>
          <w:sz w:val="28"/>
          <w:highlight w:val="none"/>
        </w:rPr>
      </w:pPr>
      <w:r>
        <w:rPr>
          <w:color w:val="000000" w:themeColor="text1"/>
          <w:highlight w:val="none"/>
        </w:rPr>
        <w:fldChar w:fldCharType="begin"/>
      </w:r>
      <w:r>
        <w:rPr>
          <w:color w:val="000000" w:themeColor="text1"/>
          <w:highlight w:val="none"/>
        </w:rPr>
        <w:instrText xml:space="preserve"> HYPERLINK \l "_Toc489972852" </w:instrText>
      </w:r>
      <w:r>
        <w:rPr>
          <w:color w:val="000000" w:themeColor="text1"/>
          <w:highlight w:val="none"/>
        </w:rPr>
        <w:fldChar w:fldCharType="separate"/>
      </w:r>
      <w:r>
        <w:rPr>
          <w:rFonts w:hint="eastAsia" w:ascii="Times New Roman" w:hAnsi="Times New Roman" w:eastAsia="黑体" w:cs="Times New Roman"/>
          <w:b/>
          <w:bCs/>
          <w:caps/>
          <w:color w:val="000000" w:themeColor="text1"/>
          <w:sz w:val="24"/>
          <w:szCs w:val="20"/>
          <w:highlight w:val="none"/>
          <w:u w:val="single"/>
        </w:rPr>
        <w:t>第四章合同条款及格式（部分）</w:t>
      </w:r>
      <w:r>
        <w:rPr>
          <w:rFonts w:ascii="Calibri" w:hAnsi="Calibri" w:eastAsia="黑体" w:cs="Times New Roman"/>
          <w:b/>
          <w:bCs/>
          <w:caps/>
          <w:color w:val="000000" w:themeColor="text1"/>
          <w:sz w:val="24"/>
          <w:szCs w:val="20"/>
          <w:highlight w:val="none"/>
        </w:rPr>
        <w:tab/>
      </w:r>
      <w:r>
        <w:rPr>
          <w:rFonts w:hint="eastAsia" w:ascii="Calibri" w:hAnsi="Calibri" w:eastAsia="黑体" w:cs="Times New Roman"/>
          <w:b/>
          <w:bCs/>
          <w:caps/>
          <w:color w:val="000000" w:themeColor="text1"/>
          <w:sz w:val="24"/>
          <w:szCs w:val="20"/>
          <w:highlight w:val="none"/>
        </w:rPr>
        <w:t>2</w:t>
      </w:r>
      <w:r>
        <w:rPr>
          <w:rFonts w:hint="eastAsia" w:ascii="Calibri" w:hAnsi="Calibri" w:eastAsia="黑体" w:cs="Times New Roman"/>
          <w:b/>
          <w:bCs/>
          <w:caps/>
          <w:color w:val="000000" w:themeColor="text1"/>
          <w:sz w:val="24"/>
          <w:szCs w:val="20"/>
          <w:highlight w:val="none"/>
        </w:rPr>
        <w:fldChar w:fldCharType="end"/>
      </w:r>
      <w:r>
        <w:rPr>
          <w:rFonts w:hint="eastAsia" w:ascii="Calibri" w:hAnsi="Calibri" w:eastAsia="黑体" w:cs="Times New Roman"/>
          <w:b/>
          <w:bCs/>
          <w:caps/>
          <w:color w:val="000000" w:themeColor="text1"/>
          <w:sz w:val="24"/>
          <w:szCs w:val="20"/>
          <w:highlight w:val="none"/>
        </w:rPr>
        <w:t>8</w:t>
      </w:r>
    </w:p>
    <w:p>
      <w:pPr>
        <w:tabs>
          <w:tab w:val="right" w:leader="dot" w:pos="8630"/>
        </w:tabs>
        <w:spacing w:before="120" w:after="120"/>
        <w:jc w:val="left"/>
        <w:rPr>
          <w:rFonts w:ascii="Calibri" w:hAnsi="Calibri" w:eastAsia="黑体" w:cs="Times New Roman"/>
          <w:color w:val="000000" w:themeColor="text1"/>
          <w:sz w:val="28"/>
          <w:highlight w:val="none"/>
        </w:rPr>
      </w:pPr>
      <w:r>
        <w:rPr>
          <w:color w:val="000000" w:themeColor="text1"/>
          <w:highlight w:val="none"/>
        </w:rPr>
        <w:fldChar w:fldCharType="begin"/>
      </w:r>
      <w:r>
        <w:rPr>
          <w:color w:val="000000" w:themeColor="text1"/>
          <w:highlight w:val="none"/>
        </w:rPr>
        <w:instrText xml:space="preserve"> HYPERLINK \l "_Toc489972853" </w:instrText>
      </w:r>
      <w:r>
        <w:rPr>
          <w:color w:val="000000" w:themeColor="text1"/>
          <w:highlight w:val="none"/>
        </w:rPr>
        <w:fldChar w:fldCharType="separate"/>
      </w:r>
      <w:r>
        <w:rPr>
          <w:rFonts w:hint="eastAsia" w:ascii="Times New Roman" w:hAnsi="Times New Roman" w:eastAsia="黑体" w:cs="Times New Roman"/>
          <w:b/>
          <w:bCs/>
          <w:caps/>
          <w:color w:val="000000" w:themeColor="text1"/>
          <w:sz w:val="24"/>
          <w:szCs w:val="20"/>
          <w:highlight w:val="none"/>
          <w:u w:val="single"/>
        </w:rPr>
        <w:t>第五章项目需求</w:t>
      </w:r>
      <w:r>
        <w:rPr>
          <w:rFonts w:ascii="Calibri" w:hAnsi="Calibri" w:eastAsia="黑体" w:cs="Times New Roman"/>
          <w:b/>
          <w:bCs/>
          <w:caps/>
          <w:color w:val="000000" w:themeColor="text1"/>
          <w:sz w:val="24"/>
          <w:szCs w:val="20"/>
          <w:highlight w:val="none"/>
        </w:rPr>
        <w:tab/>
      </w:r>
      <w:r>
        <w:rPr>
          <w:rFonts w:ascii="Calibri" w:hAnsi="Calibri" w:eastAsia="黑体" w:cs="Times New Roman"/>
          <w:b/>
          <w:bCs/>
          <w:caps/>
          <w:color w:val="000000" w:themeColor="text1"/>
          <w:sz w:val="24"/>
          <w:szCs w:val="20"/>
          <w:highlight w:val="none"/>
        </w:rPr>
        <w:fldChar w:fldCharType="end"/>
      </w:r>
      <w:r>
        <w:rPr>
          <w:rFonts w:hint="eastAsia" w:ascii="Calibri" w:hAnsi="Calibri" w:eastAsia="黑体" w:cs="Times New Roman"/>
          <w:b/>
          <w:bCs/>
          <w:caps/>
          <w:color w:val="000000" w:themeColor="text1"/>
          <w:sz w:val="24"/>
          <w:szCs w:val="20"/>
          <w:highlight w:val="none"/>
        </w:rPr>
        <w:t>38</w:t>
      </w:r>
    </w:p>
    <w:p>
      <w:pPr>
        <w:tabs>
          <w:tab w:val="right" w:leader="dot" w:pos="8630"/>
        </w:tabs>
        <w:spacing w:before="120" w:after="120"/>
        <w:jc w:val="left"/>
        <w:rPr>
          <w:rFonts w:ascii="Calibri" w:hAnsi="Calibri" w:eastAsia="黑体" w:cs="Times New Roman"/>
          <w:color w:val="000000" w:themeColor="text1"/>
          <w:sz w:val="28"/>
          <w:highlight w:val="none"/>
        </w:rPr>
      </w:pPr>
      <w:r>
        <w:rPr>
          <w:color w:val="000000" w:themeColor="text1"/>
          <w:highlight w:val="none"/>
        </w:rPr>
        <w:fldChar w:fldCharType="begin"/>
      </w:r>
      <w:r>
        <w:rPr>
          <w:color w:val="000000" w:themeColor="text1"/>
          <w:highlight w:val="none"/>
        </w:rPr>
        <w:instrText xml:space="preserve"> HYPERLINK \l "_Toc489972857" </w:instrText>
      </w:r>
      <w:r>
        <w:rPr>
          <w:color w:val="000000" w:themeColor="text1"/>
          <w:highlight w:val="none"/>
        </w:rPr>
        <w:fldChar w:fldCharType="separate"/>
      </w:r>
      <w:r>
        <w:rPr>
          <w:rFonts w:hint="eastAsia" w:ascii="Times New Roman" w:hAnsi="Times New Roman" w:eastAsia="黑体" w:cs="Times New Roman"/>
          <w:b/>
          <w:bCs/>
          <w:caps/>
          <w:color w:val="000000" w:themeColor="text1"/>
          <w:sz w:val="24"/>
          <w:szCs w:val="20"/>
          <w:highlight w:val="none"/>
          <w:u w:val="single"/>
        </w:rPr>
        <w:t>第六章投标文件格式</w:t>
      </w:r>
      <w:r>
        <w:rPr>
          <w:rFonts w:ascii="Calibri" w:hAnsi="Calibri" w:eastAsia="黑体" w:cs="Times New Roman"/>
          <w:b/>
          <w:bCs/>
          <w:caps/>
          <w:color w:val="000000" w:themeColor="text1"/>
          <w:sz w:val="24"/>
          <w:szCs w:val="20"/>
          <w:highlight w:val="none"/>
        </w:rPr>
        <w:tab/>
      </w:r>
      <w:r>
        <w:rPr>
          <w:rFonts w:ascii="Calibri" w:hAnsi="Calibri" w:eastAsia="黑体" w:cs="Times New Roman"/>
          <w:b/>
          <w:bCs/>
          <w:caps/>
          <w:color w:val="000000" w:themeColor="text1"/>
          <w:sz w:val="24"/>
          <w:szCs w:val="20"/>
          <w:highlight w:val="none"/>
        </w:rPr>
        <w:fldChar w:fldCharType="end"/>
      </w:r>
      <w:r>
        <w:rPr>
          <w:rFonts w:hint="eastAsia" w:ascii="Calibri" w:hAnsi="Calibri" w:eastAsia="黑体" w:cs="Times New Roman"/>
          <w:b/>
          <w:bCs/>
          <w:caps/>
          <w:color w:val="000000" w:themeColor="text1"/>
          <w:sz w:val="24"/>
          <w:szCs w:val="20"/>
          <w:highlight w:val="none"/>
        </w:rPr>
        <w:t>49</w:t>
      </w:r>
    </w:p>
    <w:p>
      <w:pPr>
        <w:spacing w:line="300" w:lineRule="exact"/>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fldChar w:fldCharType="end"/>
      </w:r>
    </w:p>
    <w:p>
      <w:pPr>
        <w:keepNext/>
        <w:keepLines/>
        <w:numPr>
          <w:ilvl w:val="1"/>
          <w:numId w:val="0"/>
        </w:numPr>
        <w:tabs>
          <w:tab w:val="left" w:pos="708"/>
        </w:tabs>
        <w:snapToGrid w:val="0"/>
        <w:spacing w:line="300" w:lineRule="exact"/>
        <w:jc w:val="center"/>
        <w:outlineLvl w:val="1"/>
        <w:rPr>
          <w:rFonts w:ascii="Times New Roman" w:hAnsi="Times New Roman" w:eastAsia="宋体" w:cs="Times New Roman"/>
          <w:b/>
          <w:bCs/>
          <w:color w:val="000000" w:themeColor="text1"/>
          <w:kern w:val="0"/>
          <w:sz w:val="30"/>
          <w:szCs w:val="30"/>
          <w:highlight w:val="none"/>
        </w:rPr>
        <w:sectPr>
          <w:headerReference r:id="rId6" w:type="default"/>
          <w:footerReference r:id="rId7" w:type="default"/>
          <w:pgSz w:w="11906" w:h="16838"/>
          <w:pgMar w:top="1440" w:right="1466" w:bottom="1276" w:left="1800" w:header="851" w:footer="992" w:gutter="0"/>
          <w:pgNumType w:start="1"/>
          <w:cols w:space="720" w:num="1"/>
          <w:docGrid w:type="linesAndChars" w:linePitch="312" w:charSpace="0"/>
        </w:sectPr>
      </w:pPr>
    </w:p>
    <w:p>
      <w:pPr>
        <w:keepNext/>
        <w:keepLines/>
        <w:spacing w:line="360" w:lineRule="auto"/>
        <w:ind w:firstLine="880" w:firstLineChars="200"/>
        <w:jc w:val="center"/>
        <w:outlineLvl w:val="0"/>
        <w:rPr>
          <w:rFonts w:ascii="Calibri" w:hAnsi="Calibri" w:eastAsia="黑体" w:cs="Times New Roman"/>
          <w:b/>
          <w:bCs/>
          <w:color w:val="000000" w:themeColor="text1"/>
          <w:kern w:val="44"/>
          <w:sz w:val="44"/>
          <w:szCs w:val="44"/>
          <w:highlight w:val="none"/>
        </w:rPr>
      </w:pPr>
      <w:bookmarkStart w:id="0" w:name="_Toc489972849"/>
      <w:bookmarkStart w:id="1" w:name="OLE_LINK1"/>
      <w:r>
        <w:rPr>
          <w:rFonts w:ascii="Calibri" w:hAnsi="Calibri" w:eastAsia="黑体" w:cs="Times New Roman"/>
          <w:b/>
          <w:bCs/>
          <w:color w:val="000000" w:themeColor="text1"/>
          <w:kern w:val="44"/>
          <w:sz w:val="44"/>
          <w:szCs w:val="44"/>
          <w:highlight w:val="none"/>
        </w:rPr>
        <w:t>第一章招标公告</w:t>
      </w:r>
      <w:bookmarkEnd w:id="0"/>
    </w:p>
    <w:p>
      <w:pPr>
        <w:widowControl/>
        <w:spacing w:before="232" w:line="250" w:lineRule="exact"/>
        <w:jc w:val="left"/>
        <w:rPr>
          <w:rFonts w:ascii="KLRFJD+ËÎÌå"/>
          <w:color w:val="000000" w:themeColor="text1"/>
          <w:sz w:val="24"/>
          <w:highlight w:val="none"/>
          <w:lang w:val="ru-RU"/>
        </w:rPr>
      </w:pPr>
      <w:bookmarkStart w:id="2" w:name="_Toc2623"/>
      <w:bookmarkStart w:id="168" w:name="_GoBack"/>
      <w:r>
        <w:rPr>
          <w:rFonts w:ascii="KLRFJD+ËÎÌå" w:hAnsi="KLRFJD+ËÎÌå" w:cs="KLRFJD+ËÎÌå"/>
          <w:color w:val="000000" w:themeColor="text1"/>
          <w:spacing w:val="1"/>
          <w:sz w:val="24"/>
          <w:highlight w:val="none"/>
          <w:lang w:val="ru-RU"/>
        </w:rPr>
        <w:t>一、招标条件</w:t>
      </w:r>
    </w:p>
    <w:p>
      <w:pPr>
        <w:widowControl/>
        <w:spacing w:before="214" w:line="268" w:lineRule="exact"/>
        <w:ind w:left="422"/>
        <w:jc w:val="left"/>
        <w:rPr>
          <w:rFonts w:ascii="KLRFJD+ËÎÌå"/>
          <w:color w:val="000000" w:themeColor="text1"/>
          <w:highlight w:val="none"/>
          <w:lang w:val="ru-RU"/>
        </w:rPr>
      </w:pPr>
      <w:r>
        <w:rPr>
          <w:rFonts w:ascii="KLRFJD+ËÎÌå" w:hAnsi="KLRFJD+ËÎÌå" w:cs="KLRFJD+ËÎÌå"/>
          <w:color w:val="000000" w:themeColor="text1"/>
          <w:spacing w:val="-2"/>
          <w:highlight w:val="none"/>
          <w:lang w:val="ru-RU"/>
        </w:rPr>
        <w:t>本</w:t>
      </w:r>
      <w:r>
        <w:rPr>
          <w:rFonts w:hint="eastAsia" w:ascii="KLRFJD+ËÎÌå" w:hAnsi="KLRFJD+ËÎÌå" w:cs="KLRFJD+ËÎÌå"/>
          <w:color w:val="000000" w:themeColor="text1"/>
          <w:spacing w:val="-6"/>
          <w:highlight w:val="none"/>
          <w:lang w:val="ru-RU"/>
        </w:rPr>
        <w:t>重庆银行借记金融IC卡采购项目</w:t>
      </w:r>
      <w:r>
        <w:rPr>
          <w:rFonts w:ascii="KLRFJD+ËÎÌå" w:hAnsi="KLRFJD+ËÎÌå" w:cs="KLRFJD+ËÎÌå"/>
          <w:color w:val="000000" w:themeColor="text1"/>
          <w:spacing w:val="-6"/>
          <w:highlight w:val="none"/>
          <w:lang w:val="ru-RU"/>
        </w:rPr>
        <w:t>已</w:t>
      </w:r>
      <w:r>
        <w:rPr>
          <w:rFonts w:ascii="KLRFJD+ËÎÌå" w:hAnsi="KLRFJD+ËÎÌå" w:cs="KLRFJD+ËÎÌå"/>
          <w:color w:val="000000" w:themeColor="text1"/>
          <w:spacing w:val="-1"/>
          <w:highlight w:val="none"/>
          <w:lang w:val="ru-RU"/>
        </w:rPr>
        <w:t>由项目审批</w:t>
      </w:r>
      <w:r>
        <w:rPr>
          <w:rFonts w:ascii="Calibri"/>
          <w:color w:val="000000" w:themeColor="text1"/>
          <w:highlight w:val="none"/>
          <w:lang w:val="ru-RU"/>
        </w:rPr>
        <w:t>/</w:t>
      </w:r>
      <w:r>
        <w:rPr>
          <w:rFonts w:ascii="KLRFJD+ËÎÌå" w:hAnsi="KLRFJD+ËÎÌå" w:cs="KLRFJD+ËÎÌå"/>
          <w:color w:val="000000" w:themeColor="text1"/>
          <w:spacing w:val="-1"/>
          <w:highlight w:val="none"/>
          <w:lang w:val="ru-RU"/>
        </w:rPr>
        <w:t>核准</w:t>
      </w:r>
      <w:r>
        <w:rPr>
          <w:rFonts w:ascii="Calibri"/>
          <w:color w:val="000000" w:themeColor="text1"/>
          <w:highlight w:val="none"/>
          <w:lang w:val="ru-RU"/>
        </w:rPr>
        <w:t>/</w:t>
      </w:r>
      <w:r>
        <w:rPr>
          <w:rFonts w:ascii="KLRFJD+ËÎÌå" w:hAnsi="KLRFJD+ËÎÌå" w:cs="KLRFJD+ËÎÌå"/>
          <w:color w:val="000000" w:themeColor="text1"/>
          <w:spacing w:val="-6"/>
          <w:highlight w:val="none"/>
          <w:lang w:val="ru-RU"/>
        </w:rPr>
        <w:t>备案机关批准，项目资金为</w:t>
      </w:r>
      <w:r>
        <w:rPr>
          <w:rFonts w:ascii="KLRFJD+ËÎÌå" w:hAnsi="KLRFJD+ËÎÌå" w:cs="KLRFJD+ËÎÌå"/>
          <w:color w:val="000000" w:themeColor="text1"/>
          <w:spacing w:val="-1"/>
          <w:highlight w:val="none"/>
          <w:lang w:val="ru-RU"/>
        </w:rPr>
        <w:t>自筹资金</w:t>
      </w:r>
      <w:r>
        <w:rPr>
          <w:rFonts w:hint="eastAsia"/>
          <w:color w:val="000000" w:themeColor="text1"/>
          <w:highlight w:val="none"/>
        </w:rPr>
        <w:t xml:space="preserve"> 620</w:t>
      </w:r>
      <w:r>
        <w:rPr>
          <w:rFonts w:ascii="KLRFJD+ËÎÌå" w:hAnsi="KLRFJD+ËÎÌå" w:cs="KLRFJD+ËÎÌå"/>
          <w:color w:val="000000" w:themeColor="text1"/>
          <w:spacing w:val="-2"/>
          <w:highlight w:val="none"/>
          <w:lang w:val="ru-RU"/>
        </w:rPr>
        <w:t>万元；</w:t>
      </w:r>
      <w:r>
        <w:rPr>
          <w:rFonts w:ascii="KLRFJD+ËÎÌå" w:hAnsi="KLRFJD+ËÎÌå" w:cs="KLRFJD+ËÎÌå"/>
          <w:color w:val="000000" w:themeColor="text1"/>
          <w:highlight w:val="none"/>
          <w:lang w:val="ru-RU"/>
        </w:rPr>
        <w:t>招标人为</w:t>
      </w:r>
      <w:r>
        <w:rPr>
          <w:rFonts w:ascii="KLRFJD+ËÎÌå" w:hAnsi="KLRFJD+ËÎÌå" w:cs="KLRFJD+ËÎÌå"/>
          <w:color w:val="000000" w:themeColor="text1"/>
          <w:spacing w:val="-1"/>
          <w:highlight w:val="none"/>
          <w:lang w:val="ru-RU"/>
        </w:rPr>
        <w:t>重庆银行股份有限公司。本项目已具备招标条件，现进行</w:t>
      </w:r>
      <w:r>
        <w:rPr>
          <w:rFonts w:ascii="KLRFJD+ËÎÌå" w:hAnsi="KLRFJD+ËÎÌå" w:cs="KLRFJD+ËÎÌå"/>
          <w:color w:val="000000" w:themeColor="text1"/>
          <w:highlight w:val="none"/>
          <w:lang w:val="ru-RU"/>
        </w:rPr>
        <w:t>公</w:t>
      </w:r>
      <w:r>
        <w:rPr>
          <w:rFonts w:ascii="KLRFJD+ËÎÌå" w:hAnsi="KLRFJD+ËÎÌå" w:cs="KLRFJD+ËÎÌå"/>
          <w:color w:val="000000" w:themeColor="text1"/>
          <w:spacing w:val="-1"/>
          <w:highlight w:val="none"/>
          <w:lang w:val="ru-RU"/>
        </w:rPr>
        <w:t>开招标</w:t>
      </w:r>
      <w:r>
        <w:rPr>
          <w:rFonts w:ascii="KLRFJD+ËÎÌå" w:hAnsi="KLRFJD+ËÎÌå" w:cs="KLRFJD+ËÎÌå"/>
          <w:color w:val="000000" w:themeColor="text1"/>
          <w:highlight w:val="none"/>
          <w:lang w:val="ru-RU"/>
        </w:rPr>
        <w:t>。</w:t>
      </w:r>
    </w:p>
    <w:p>
      <w:pPr>
        <w:widowControl/>
        <w:spacing w:before="232" w:line="250" w:lineRule="exact"/>
        <w:jc w:val="left"/>
        <w:rPr>
          <w:rFonts w:ascii="KLRFJD+ËÎÌå"/>
          <w:color w:val="000000" w:themeColor="text1"/>
          <w:sz w:val="24"/>
          <w:highlight w:val="none"/>
          <w:lang w:val="ru-RU"/>
        </w:rPr>
      </w:pPr>
      <w:r>
        <w:rPr>
          <w:rFonts w:ascii="KLRFJD+ËÎÌå" w:hAnsi="KLRFJD+ËÎÌå" w:cs="KLRFJD+ËÎÌå"/>
          <w:color w:val="000000" w:themeColor="text1"/>
          <w:spacing w:val="1"/>
          <w:sz w:val="24"/>
          <w:highlight w:val="none"/>
          <w:lang w:val="ru-RU"/>
        </w:rPr>
        <w:t>二、项目概况和招标范围</w:t>
      </w:r>
    </w:p>
    <w:p>
      <w:pPr>
        <w:widowControl/>
        <w:spacing w:before="214" w:line="268" w:lineRule="exact"/>
        <w:ind w:left="420"/>
        <w:jc w:val="left"/>
        <w:rPr>
          <w:rFonts w:ascii="KLRFJD+ËÎÌå"/>
          <w:color w:val="000000" w:themeColor="text1"/>
          <w:highlight w:val="none"/>
          <w:lang w:val="ru-RU"/>
        </w:rPr>
      </w:pPr>
      <w:r>
        <w:rPr>
          <w:rFonts w:ascii="KLRFJD+ËÎÌå" w:hAnsi="KLRFJD+ËÎÌå" w:cs="KLRFJD+ËÎÌå"/>
          <w:color w:val="000000" w:themeColor="text1"/>
          <w:spacing w:val="-1"/>
          <w:highlight w:val="none"/>
          <w:lang w:val="ru-RU"/>
        </w:rPr>
        <w:t>规模：</w:t>
      </w:r>
      <w:r>
        <w:rPr>
          <w:rFonts w:hint="eastAsia" w:ascii="KLRFJD+ËÎÌå" w:hAnsi="KLRFJD+ËÎÌå" w:cs="KLRFJD+ËÎÌå"/>
          <w:color w:val="000000" w:themeColor="text1"/>
          <w:spacing w:val="-6"/>
          <w:highlight w:val="none"/>
          <w:lang w:val="ru-RU"/>
        </w:rPr>
        <w:t>重庆银行借记金融IC卡采购项目</w:t>
      </w:r>
      <w:r>
        <w:rPr>
          <w:rFonts w:ascii="Calibri"/>
          <w:color w:val="000000" w:themeColor="text1"/>
          <w:spacing w:val="-2"/>
          <w:highlight w:val="none"/>
          <w:lang w:val="ru-RU"/>
        </w:rPr>
        <w:t>,</w:t>
      </w:r>
      <w:r>
        <w:rPr>
          <w:rFonts w:ascii="KLRFJD+ËÎÌå" w:hAnsi="KLRFJD+ËÎÌå" w:cs="KLRFJD+ËÎÌå"/>
          <w:color w:val="000000" w:themeColor="text1"/>
          <w:spacing w:val="-1"/>
          <w:highlight w:val="none"/>
          <w:lang w:val="ru-RU"/>
        </w:rPr>
        <w:t>采购预算：</w:t>
      </w:r>
      <w:r>
        <w:rPr>
          <w:rFonts w:hint="eastAsia"/>
          <w:color w:val="000000" w:themeColor="text1"/>
          <w:highlight w:val="none"/>
        </w:rPr>
        <w:t>620</w:t>
      </w:r>
      <w:r>
        <w:rPr>
          <w:rFonts w:ascii="KLRFJD+ËÎÌå" w:hAnsi="KLRFJD+ËÎÌå" w:cs="KLRFJD+ËÎÌå"/>
          <w:color w:val="000000" w:themeColor="text1"/>
          <w:spacing w:val="-1"/>
          <w:highlight w:val="none"/>
          <w:lang w:val="ru-RU"/>
        </w:rPr>
        <w:t>万元</w:t>
      </w:r>
      <w:r>
        <w:rPr>
          <w:rFonts w:hint="eastAsia" w:ascii="KLRFJD+ËÎÌå" w:hAnsi="KLRFJD+ËÎÌå" w:cs="KLRFJD+ËÎÌå"/>
          <w:color w:val="000000" w:themeColor="text1"/>
          <w:spacing w:val="-1"/>
          <w:highlight w:val="none"/>
          <w:lang w:val="ru-RU"/>
        </w:rPr>
        <w:t>；</w:t>
      </w:r>
    </w:p>
    <w:p>
      <w:pPr>
        <w:widowControl/>
        <w:spacing w:before="200" w:line="268" w:lineRule="exact"/>
        <w:ind w:left="420"/>
        <w:jc w:val="left"/>
        <w:rPr>
          <w:rFonts w:ascii="KLRFJD+ËÎÌå"/>
          <w:color w:val="000000" w:themeColor="text1"/>
          <w:highlight w:val="none"/>
          <w:lang w:val="ru-RU"/>
        </w:rPr>
      </w:pPr>
      <w:r>
        <w:rPr>
          <w:rFonts w:ascii="KLRFJD+ËÎÌå" w:hAnsi="KLRFJD+ËÎÌå" w:cs="KLRFJD+ËÎÌå"/>
          <w:color w:val="000000" w:themeColor="text1"/>
          <w:spacing w:val="-1"/>
          <w:highlight w:val="none"/>
          <w:lang w:val="ru-RU"/>
        </w:rPr>
        <w:t>范围：本招标项目划分为</w:t>
      </w:r>
      <w:r>
        <w:rPr>
          <w:rFonts w:ascii="Calibri"/>
          <w:color w:val="000000" w:themeColor="text1"/>
          <w:highlight w:val="none"/>
          <w:lang w:val="ru-RU"/>
        </w:rPr>
        <w:t>1</w:t>
      </w:r>
      <w:r>
        <w:rPr>
          <w:rFonts w:ascii="KLRFJD+ËÎÌå" w:hAnsi="KLRFJD+ËÎÌå" w:cs="KLRFJD+ËÎÌå"/>
          <w:color w:val="000000" w:themeColor="text1"/>
          <w:spacing w:val="-1"/>
          <w:highlight w:val="none"/>
          <w:lang w:val="ru-RU"/>
        </w:rPr>
        <w:t>个标段，本次招标为其中的：</w:t>
      </w:r>
    </w:p>
    <w:p>
      <w:pPr>
        <w:widowControl/>
        <w:spacing w:before="200" w:line="268" w:lineRule="exact"/>
        <w:ind w:left="422"/>
        <w:jc w:val="left"/>
        <w:rPr>
          <w:rFonts w:ascii="Calibri"/>
          <w:color w:val="000000" w:themeColor="text1"/>
          <w:highlight w:val="none"/>
          <w:lang w:val="ru-RU"/>
        </w:rPr>
      </w:pPr>
      <w:r>
        <w:rPr>
          <w:rFonts w:ascii="Calibri"/>
          <w:color w:val="000000" w:themeColor="text1"/>
          <w:spacing w:val="-1"/>
          <w:highlight w:val="none"/>
          <w:lang w:val="ru-RU"/>
        </w:rPr>
        <w:t>(001)</w:t>
      </w:r>
      <w:r>
        <w:rPr>
          <w:rFonts w:hint="eastAsia" w:ascii="KLRFJD+ËÎÌå" w:hAnsi="KLRFJD+ËÎÌå" w:cs="KLRFJD+ËÎÌå"/>
          <w:color w:val="000000" w:themeColor="text1"/>
          <w:spacing w:val="-6"/>
          <w:highlight w:val="none"/>
          <w:lang w:val="ru-RU"/>
        </w:rPr>
        <w:t>重庆银行借记金融IC卡采购项目</w:t>
      </w:r>
      <w:r>
        <w:rPr>
          <w:rFonts w:ascii="Calibri"/>
          <w:color w:val="000000" w:themeColor="text1"/>
          <w:highlight w:val="none"/>
          <w:lang w:val="ru-RU"/>
        </w:rPr>
        <w:t>;</w:t>
      </w:r>
    </w:p>
    <w:p>
      <w:pPr>
        <w:widowControl/>
        <w:spacing w:before="205" w:line="250" w:lineRule="exact"/>
        <w:jc w:val="left"/>
        <w:rPr>
          <w:rFonts w:ascii="KLRFJD+ËÎÌå"/>
          <w:color w:val="000000" w:themeColor="text1"/>
          <w:sz w:val="24"/>
          <w:highlight w:val="none"/>
          <w:lang w:val="ru-RU"/>
        </w:rPr>
      </w:pPr>
      <w:r>
        <w:rPr>
          <w:rFonts w:ascii="KLRFJD+ËÎÌå" w:hAnsi="KLRFJD+ËÎÌå" w:cs="KLRFJD+ËÎÌå"/>
          <w:color w:val="000000" w:themeColor="text1"/>
          <w:spacing w:val="1"/>
          <w:sz w:val="24"/>
          <w:highlight w:val="none"/>
          <w:lang w:val="ru-RU"/>
        </w:rPr>
        <w:t>三、投标人资格要求</w:t>
      </w:r>
    </w:p>
    <w:p>
      <w:pPr>
        <w:widowControl/>
        <w:spacing w:before="214" w:line="268" w:lineRule="exact"/>
        <w:ind w:left="422"/>
        <w:jc w:val="left"/>
        <w:rPr>
          <w:rFonts w:ascii="KLRFJD+ËÎÌå" w:hAnsi="KLRFJD+ËÎÌå" w:cs="KLRFJD+ËÎÌå"/>
          <w:color w:val="000000" w:themeColor="text1"/>
          <w:spacing w:val="-1"/>
          <w:highlight w:val="none"/>
          <w:lang w:val="ru-RU"/>
        </w:rPr>
      </w:pPr>
      <w:r>
        <w:rPr>
          <w:rFonts w:ascii="Calibri"/>
          <w:color w:val="000000" w:themeColor="text1"/>
          <w:spacing w:val="-2"/>
          <w:highlight w:val="none"/>
          <w:lang w:val="ru-RU"/>
        </w:rPr>
        <w:t>(001</w:t>
      </w:r>
      <w:r>
        <w:rPr>
          <w:rFonts w:hint="eastAsia" w:ascii="KLRFJD+ËÎÌå" w:hAnsi="KLRFJD+ËÎÌå" w:cs="KLRFJD+ËÎÌå"/>
          <w:color w:val="000000" w:themeColor="text1"/>
          <w:spacing w:val="-6"/>
          <w:highlight w:val="none"/>
          <w:lang w:val="ru-RU"/>
        </w:rPr>
        <w:t>重庆银行借记金融IC卡采购项目</w:t>
      </w:r>
      <w:r>
        <w:rPr>
          <w:rFonts w:ascii="Calibri"/>
          <w:color w:val="000000" w:themeColor="text1"/>
          <w:spacing w:val="1"/>
          <w:highlight w:val="none"/>
          <w:lang w:val="ru-RU"/>
        </w:rPr>
        <w:t>)</w:t>
      </w:r>
      <w:r>
        <w:rPr>
          <w:rFonts w:ascii="KLRFJD+ËÎÌå" w:hAnsi="KLRFJD+ËÎÌå" w:cs="KLRFJD+ËÎÌå"/>
          <w:color w:val="000000" w:themeColor="text1"/>
          <w:spacing w:val="-1"/>
          <w:highlight w:val="none"/>
          <w:lang w:val="ru-RU"/>
        </w:rPr>
        <w:t>的投标人资格能力要求：</w:t>
      </w:r>
    </w:p>
    <w:p>
      <w:pPr>
        <w:widowControl/>
        <w:spacing w:before="214" w:line="268" w:lineRule="exact"/>
        <w:ind w:left="422"/>
        <w:jc w:val="left"/>
        <w:rPr>
          <w:rFonts w:ascii="KLRFJD+ËÎÌå" w:hAnsi="KLRFJD+ËÎÌå" w:cs="KLRFJD+ËÎÌå"/>
          <w:color w:val="000000" w:themeColor="text1"/>
          <w:spacing w:val="-1"/>
          <w:highlight w:val="none"/>
          <w:lang w:val="ru-RU"/>
        </w:rPr>
      </w:pPr>
      <w:r>
        <w:rPr>
          <w:rFonts w:ascii="KLRFJD+ËÎÌå" w:hAnsi="KLRFJD+ËÎÌå" w:cs="KLRFJD+ËÎÌå"/>
          <w:color w:val="000000" w:themeColor="text1"/>
          <w:spacing w:val="-1"/>
          <w:highlight w:val="none"/>
          <w:lang w:val="ru-RU"/>
        </w:rPr>
        <w:t>1、具有独立法人资格（提供营业执照复印件并加盖投标人公章）。</w:t>
      </w:r>
    </w:p>
    <w:p>
      <w:pPr>
        <w:widowControl/>
        <w:spacing w:before="214" w:line="268" w:lineRule="exact"/>
        <w:ind w:firstLine="416" w:firstLineChars="200"/>
        <w:jc w:val="left"/>
        <w:rPr>
          <w:rFonts w:ascii="KLRFJD+ËÎÌå" w:hAnsi="KLRFJD+ËÎÌå" w:cs="KLRFJD+ËÎÌå"/>
          <w:color w:val="000000" w:themeColor="text1"/>
          <w:spacing w:val="-1"/>
          <w:highlight w:val="none"/>
          <w:lang w:val="ru-RU"/>
        </w:rPr>
      </w:pPr>
      <w:r>
        <w:rPr>
          <w:rFonts w:ascii="KLRFJD+ËÎÌå" w:hAnsi="KLRFJD+ËÎÌå" w:cs="KLRFJD+ËÎÌå"/>
          <w:color w:val="000000" w:themeColor="text1"/>
          <w:spacing w:val="-1"/>
          <w:highlight w:val="none"/>
          <w:lang w:val="ru-RU"/>
        </w:rPr>
        <w:t>2、2016年至本招标文件发出日期间，与工行、农行、中行、建行、交行、邮储或全国性股份制商业银行（中信、光大、招商、华夏、渤海、浦发、兴业、广发、民生、平安、恒丰或浙商）有1个总行级金融IC卡合作案例（要求如实填列《</w:t>
      </w:r>
      <w:r>
        <w:rPr>
          <w:rFonts w:hint="eastAsia" w:ascii="KLRFJD+ËÎÌå" w:hAnsi="KLRFJD+ËÎÌå" w:cs="KLRFJD+ËÎÌå"/>
          <w:color w:val="000000" w:themeColor="text1"/>
          <w:spacing w:val="-1"/>
          <w:highlight w:val="none"/>
          <w:lang w:val="ru-RU"/>
        </w:rPr>
        <w:t>投标人业绩表</w:t>
      </w:r>
      <w:r>
        <w:rPr>
          <w:rFonts w:ascii="KLRFJD+ËÎÌå" w:hAnsi="KLRFJD+ËÎÌå" w:cs="KLRFJD+ËÎÌå"/>
          <w:color w:val="000000" w:themeColor="text1"/>
          <w:spacing w:val="-1"/>
          <w:highlight w:val="none"/>
          <w:lang w:val="ru-RU"/>
        </w:rPr>
        <w:t>》；提供合同复印件并加盖投标人公章（原件备查）；合同复印件包括但不限于合同首页及合同关键页，需说明客户名称、合同范围、签订时间、双方签字盖章内容；案例时间以合同签订时间为准）。</w:t>
      </w:r>
    </w:p>
    <w:p>
      <w:pPr>
        <w:widowControl/>
        <w:spacing w:before="214" w:line="268" w:lineRule="exact"/>
        <w:ind w:firstLine="416" w:firstLineChars="200"/>
        <w:jc w:val="left"/>
        <w:rPr>
          <w:rFonts w:ascii="KLRFJD+ËÎÌå" w:hAnsi="KLRFJD+ËÎÌå" w:cs="KLRFJD+ËÎÌå"/>
          <w:color w:val="000000" w:themeColor="text1"/>
          <w:spacing w:val="-1"/>
          <w:highlight w:val="none"/>
          <w:lang w:val="ru-RU"/>
        </w:rPr>
      </w:pPr>
      <w:r>
        <w:rPr>
          <w:rFonts w:ascii="KLRFJD+ËÎÌå" w:hAnsi="KLRFJD+ËÎÌå" w:cs="KLRFJD+ËÎÌå"/>
          <w:color w:val="000000" w:themeColor="text1"/>
          <w:spacing w:val="-1"/>
          <w:highlight w:val="none"/>
          <w:lang w:val="ru-RU"/>
        </w:rPr>
        <w:t>3、具有VISA、MASTERCARD和中国银联认证的标识卡生产企业资格证书（提供相应证书复印件，加盖投标人公章）。</w:t>
      </w:r>
    </w:p>
    <w:p>
      <w:pPr>
        <w:widowControl/>
        <w:spacing w:before="214" w:line="268" w:lineRule="exact"/>
        <w:ind w:firstLine="416" w:firstLineChars="200"/>
        <w:jc w:val="left"/>
        <w:rPr>
          <w:rFonts w:ascii="KLRFJD+ËÎÌå" w:hAnsi="KLRFJD+ËÎÌå" w:cs="KLRFJD+ËÎÌå"/>
          <w:color w:val="000000" w:themeColor="text1"/>
          <w:spacing w:val="-1"/>
          <w:highlight w:val="none"/>
          <w:lang w:val="ru-RU"/>
        </w:rPr>
      </w:pPr>
      <w:r>
        <w:rPr>
          <w:rFonts w:ascii="KLRFJD+ËÎÌå" w:hAnsi="KLRFJD+ËÎÌå" w:cs="KLRFJD+ËÎÌå"/>
          <w:color w:val="000000" w:themeColor="text1"/>
          <w:spacing w:val="-1"/>
          <w:highlight w:val="none"/>
          <w:lang w:val="ru-RU"/>
        </w:rPr>
        <w:t>4、具有国家集成电路卡注册中心颁发的《集成电路卡注册证书》（提供相应证书复印件，加盖投标人公章）。</w:t>
      </w:r>
    </w:p>
    <w:p>
      <w:pPr>
        <w:widowControl/>
        <w:spacing w:before="214" w:line="268" w:lineRule="exact"/>
        <w:ind w:firstLine="416" w:firstLineChars="200"/>
        <w:jc w:val="left"/>
        <w:rPr>
          <w:rFonts w:ascii="KLRFJD+ËÎÌå" w:hAnsi="KLRFJD+ËÎÌå" w:cs="KLRFJD+ËÎÌå"/>
          <w:color w:val="000000" w:themeColor="text1"/>
          <w:spacing w:val="-1"/>
          <w:highlight w:val="none"/>
          <w:lang w:val="ru-RU"/>
        </w:rPr>
      </w:pPr>
      <w:r>
        <w:rPr>
          <w:rFonts w:ascii="KLRFJD+ËÎÌå" w:hAnsi="KLRFJD+ËÎÌå" w:cs="KLRFJD+ËÎÌå"/>
          <w:color w:val="000000" w:themeColor="text1"/>
          <w:spacing w:val="-1"/>
          <w:highlight w:val="none"/>
          <w:lang w:val="ru-RU"/>
        </w:rPr>
        <w:t>5、具有国家密码管理局颁发的商用密码产品型号证书（提供相应证书复印件，加盖投标人公章）。</w:t>
      </w:r>
    </w:p>
    <w:p>
      <w:pPr>
        <w:widowControl/>
        <w:spacing w:before="214" w:line="268" w:lineRule="exact"/>
        <w:ind w:firstLine="416" w:firstLineChars="200"/>
        <w:jc w:val="left"/>
        <w:rPr>
          <w:rFonts w:ascii="KLRFJD+ËÎÌå" w:hAnsi="KLRFJD+ËÎÌå" w:cs="KLRFJD+ËÎÌå"/>
          <w:color w:val="000000" w:themeColor="text1"/>
          <w:spacing w:val="-1"/>
          <w:highlight w:val="none"/>
          <w:lang w:val="ru-RU"/>
        </w:rPr>
      </w:pPr>
      <w:r>
        <w:rPr>
          <w:rFonts w:ascii="KLRFJD+ËÎÌå" w:hAnsi="KLRFJD+ËÎÌå" w:cs="KLRFJD+ËÎÌå"/>
          <w:color w:val="000000" w:themeColor="text1"/>
          <w:spacing w:val="-1"/>
          <w:highlight w:val="none"/>
          <w:lang w:val="ru-RU"/>
        </w:rPr>
        <w:t>6、具有中国国家信息安全产品认证证书EAL4+( EAL4增强级)或以上级别（提供相应证书复印件，加盖投标人公章）。</w:t>
      </w:r>
    </w:p>
    <w:p>
      <w:pPr>
        <w:widowControl/>
        <w:spacing w:before="214" w:line="268" w:lineRule="exact"/>
        <w:ind w:left="422"/>
        <w:jc w:val="left"/>
        <w:rPr>
          <w:rFonts w:ascii="KLRFJD+ËÎÌå" w:hAnsi="KLRFJD+ËÎÌå" w:cs="KLRFJD+ËÎÌå"/>
          <w:color w:val="000000" w:themeColor="text1"/>
          <w:spacing w:val="-1"/>
          <w:highlight w:val="none"/>
          <w:lang w:val="ru-RU"/>
        </w:rPr>
      </w:pPr>
    </w:p>
    <w:p>
      <w:pPr>
        <w:widowControl/>
        <w:spacing w:before="214" w:line="268" w:lineRule="exact"/>
        <w:ind w:firstLine="416" w:firstLineChars="200"/>
        <w:jc w:val="left"/>
        <w:rPr>
          <w:rFonts w:ascii="KLRFJD+ËÎÌå" w:hAnsi="KLRFJD+ËÎÌå" w:cs="KLRFJD+ËÎÌå"/>
          <w:color w:val="000000" w:themeColor="text1"/>
          <w:spacing w:val="-1"/>
          <w:highlight w:val="none"/>
          <w:lang w:val="ru-RU"/>
        </w:rPr>
      </w:pPr>
      <w:r>
        <w:rPr>
          <w:rFonts w:ascii="KLRFJD+ËÎÌå" w:hAnsi="KLRFJD+ËÎÌå" w:cs="KLRFJD+ËÎÌå"/>
          <w:color w:val="000000" w:themeColor="text1"/>
          <w:spacing w:val="-1"/>
          <w:highlight w:val="none"/>
          <w:lang w:val="ru-RU"/>
        </w:rPr>
        <w:t>以上资格证书必须在有效期内，且上述所有复印件的原件备查（营业执照除外）。</w:t>
      </w:r>
    </w:p>
    <w:p>
      <w:pPr>
        <w:widowControl/>
        <w:spacing w:before="200" w:line="268" w:lineRule="exact"/>
        <w:jc w:val="left"/>
        <w:rPr>
          <w:rFonts w:ascii="Calibri"/>
          <w:color w:val="000000" w:themeColor="text1"/>
          <w:highlight w:val="none"/>
          <w:lang w:val="ru-RU"/>
        </w:rPr>
      </w:pPr>
    </w:p>
    <w:p>
      <w:pPr>
        <w:widowControl/>
        <w:spacing w:before="200" w:line="268" w:lineRule="exact"/>
        <w:ind w:firstLine="420" w:firstLineChars="200"/>
        <w:jc w:val="left"/>
        <w:rPr>
          <w:rFonts w:ascii="KLRFJD+ËÎÌå"/>
          <w:color w:val="000000" w:themeColor="text1"/>
          <w:highlight w:val="none"/>
          <w:lang w:val="ru-RU"/>
        </w:rPr>
      </w:pPr>
      <w:r>
        <w:rPr>
          <w:rFonts w:hint="eastAsia" w:ascii="Calibri"/>
          <w:color w:val="000000" w:themeColor="text1"/>
          <w:highlight w:val="none"/>
          <w:lang w:val="ru-RU"/>
        </w:rPr>
        <w:t>本项目不允许联合体投标。</w:t>
      </w:r>
    </w:p>
    <w:p>
      <w:pPr>
        <w:widowControl/>
        <w:spacing w:before="200" w:line="268" w:lineRule="exact"/>
        <w:jc w:val="left"/>
        <w:rPr>
          <w:rFonts w:ascii="KLRFJD+ËÎÌå"/>
          <w:color w:val="000000" w:themeColor="text1"/>
          <w:highlight w:val="none"/>
          <w:lang w:val="ru-RU"/>
        </w:rPr>
      </w:pPr>
    </w:p>
    <w:p>
      <w:pPr>
        <w:widowControl/>
        <w:spacing w:before="232" w:line="250" w:lineRule="exact"/>
        <w:jc w:val="left"/>
        <w:rPr>
          <w:rFonts w:ascii="KLRFJD+ËÎÌå"/>
          <w:color w:val="000000" w:themeColor="text1"/>
          <w:sz w:val="24"/>
          <w:highlight w:val="none"/>
          <w:lang w:val="ru-RU"/>
        </w:rPr>
      </w:pPr>
      <w:r>
        <w:rPr>
          <w:rFonts w:ascii="KLRFJD+ËÎÌå" w:hAnsi="KLRFJD+ËÎÌå" w:cs="KLRFJD+ËÎÌå"/>
          <w:color w:val="000000" w:themeColor="text1"/>
          <w:spacing w:val="1"/>
          <w:sz w:val="24"/>
          <w:highlight w:val="none"/>
          <w:lang w:val="ru-RU"/>
        </w:rPr>
        <w:t>四、招标文件的获取</w:t>
      </w:r>
    </w:p>
    <w:p>
      <w:pPr>
        <w:widowControl/>
        <w:spacing w:before="214" w:line="268" w:lineRule="exact"/>
        <w:ind w:left="420" w:firstLine="416"/>
        <w:jc w:val="left"/>
        <w:rPr>
          <w:rFonts w:ascii="KLRFJD+ËÎÌå" w:hAnsi="KLRFJD+ËÎÌå" w:cs="KLRFJD+ËÎÌå"/>
          <w:color w:val="000000" w:themeColor="text1"/>
          <w:spacing w:val="-7"/>
          <w:highlight w:val="none"/>
          <w:lang w:val="ru-RU"/>
        </w:rPr>
      </w:pPr>
      <w:r>
        <w:rPr>
          <w:rFonts w:ascii="KLRFJD+ËÎÌå" w:hAnsi="KLRFJD+ËÎÌå" w:cs="KLRFJD+ËÎÌå"/>
          <w:color w:val="000000" w:themeColor="text1"/>
          <w:spacing w:val="-1"/>
          <w:highlight w:val="none"/>
          <w:lang w:val="ru-RU"/>
        </w:rPr>
        <w:t>获取时间：</w:t>
      </w:r>
      <w:r>
        <w:rPr>
          <w:rFonts w:ascii="KLRFJD+ËÎÌå" w:hAnsi="KLRFJD+ËÎÌå" w:cs="KLRFJD+ËÎÌå"/>
          <w:color w:val="000000" w:themeColor="text1"/>
          <w:highlight w:val="none"/>
          <w:lang w:val="ru-RU"/>
        </w:rPr>
        <w:t>从</w:t>
      </w:r>
      <w:r>
        <w:rPr>
          <w:rFonts w:ascii="Calibri"/>
          <w:color w:val="000000" w:themeColor="text1"/>
          <w:spacing w:val="-1"/>
          <w:highlight w:val="none"/>
          <w:lang w:val="ru-RU"/>
        </w:rPr>
        <w:t>201</w:t>
      </w:r>
      <w:r>
        <w:rPr>
          <w:rFonts w:hint="eastAsia" w:ascii="Calibri"/>
          <w:color w:val="000000" w:themeColor="text1"/>
          <w:spacing w:val="-1"/>
          <w:highlight w:val="none"/>
          <w:lang w:val="ru-RU"/>
        </w:rPr>
        <w:t>9</w:t>
      </w:r>
      <w:r>
        <w:rPr>
          <w:rFonts w:ascii="KLRFJD+ËÎÌå" w:hAnsi="KLRFJD+ËÎÌå" w:cs="KLRFJD+ËÎÌå"/>
          <w:color w:val="000000" w:themeColor="text1"/>
          <w:highlight w:val="none"/>
          <w:lang w:val="ru-RU"/>
        </w:rPr>
        <w:t>年</w:t>
      </w:r>
      <w:r>
        <w:rPr>
          <w:rFonts w:hint="eastAsia" w:ascii="KLRFJD+ËÎÌå" w:hAnsi="KLRFJD+ËÎÌå" w:cs="KLRFJD+ËÎÌå"/>
          <w:color w:val="000000" w:themeColor="text1"/>
          <w:highlight w:val="none"/>
          <w:lang w:val="en-US" w:eastAsia="zh-CN"/>
        </w:rPr>
        <w:t>10</w:t>
      </w:r>
      <w:r>
        <w:rPr>
          <w:rFonts w:hint="eastAsia" w:ascii="KLRFJD+ËÎÌå" w:hAnsi="KLRFJD+ËÎÌå" w:cs="KLRFJD+ËÎÌå"/>
          <w:color w:val="000000" w:themeColor="text1"/>
          <w:highlight w:val="none"/>
        </w:rPr>
        <w:t xml:space="preserve"> </w:t>
      </w:r>
      <w:r>
        <w:rPr>
          <w:rFonts w:ascii="KLRFJD+ËÎÌå" w:hAnsi="KLRFJD+ËÎÌå" w:cs="KLRFJD+ËÎÌå"/>
          <w:color w:val="000000" w:themeColor="text1"/>
          <w:highlight w:val="none"/>
          <w:lang w:val="ru-RU"/>
        </w:rPr>
        <w:t>月</w:t>
      </w:r>
      <w:r>
        <w:rPr>
          <w:rFonts w:hint="eastAsia" w:ascii="KLRFJD+ËÎÌå" w:hAnsi="KLRFJD+ËÎÌå" w:cs="KLRFJD+ËÎÌå"/>
          <w:color w:val="000000" w:themeColor="text1"/>
          <w:highlight w:val="none"/>
        </w:rPr>
        <w:t xml:space="preserve"> </w:t>
      </w:r>
      <w:r>
        <w:rPr>
          <w:rFonts w:hint="eastAsia" w:ascii="KLRFJD+ËÎÌå" w:hAnsi="KLRFJD+ËÎÌå" w:cs="KLRFJD+ËÎÌå"/>
          <w:color w:val="000000" w:themeColor="text1"/>
          <w:highlight w:val="none"/>
          <w:lang w:val="en-US" w:eastAsia="zh-CN"/>
        </w:rPr>
        <w:t>24</w:t>
      </w:r>
      <w:r>
        <w:rPr>
          <w:rFonts w:ascii="KLRFJD+ËÎÌå" w:hAnsi="KLRFJD+ËÎÌå" w:cs="KLRFJD+ËÎÌå"/>
          <w:color w:val="000000" w:themeColor="text1"/>
          <w:highlight w:val="none"/>
          <w:lang w:val="ru-RU"/>
        </w:rPr>
        <w:t>日</w:t>
      </w:r>
      <w:r>
        <w:rPr>
          <w:rFonts w:ascii="Calibri"/>
          <w:color w:val="000000" w:themeColor="text1"/>
          <w:spacing w:val="-1"/>
          <w:highlight w:val="none"/>
          <w:lang w:val="ru-RU"/>
        </w:rPr>
        <w:t>09</w:t>
      </w:r>
      <w:r>
        <w:rPr>
          <w:rFonts w:ascii="KLRFJD+ËÎÌå" w:hAnsi="KLRFJD+ËÎÌå" w:cs="KLRFJD+ËÎÌå"/>
          <w:color w:val="000000" w:themeColor="text1"/>
          <w:highlight w:val="none"/>
          <w:lang w:val="ru-RU"/>
        </w:rPr>
        <w:t>时</w:t>
      </w:r>
      <w:r>
        <w:rPr>
          <w:rFonts w:ascii="Calibri"/>
          <w:color w:val="000000" w:themeColor="text1"/>
          <w:spacing w:val="-1"/>
          <w:highlight w:val="none"/>
          <w:lang w:val="ru-RU"/>
        </w:rPr>
        <w:t>00</w:t>
      </w:r>
      <w:r>
        <w:rPr>
          <w:rFonts w:ascii="KLRFJD+ËÎÌå" w:hAnsi="KLRFJD+ËÎÌå" w:cs="KLRFJD+ËÎÌå"/>
          <w:color w:val="000000" w:themeColor="text1"/>
          <w:highlight w:val="none"/>
          <w:lang w:val="ru-RU"/>
        </w:rPr>
        <w:t>分到</w:t>
      </w:r>
      <w:r>
        <w:rPr>
          <w:rFonts w:ascii="Calibri"/>
          <w:color w:val="000000" w:themeColor="text1"/>
          <w:spacing w:val="-1"/>
          <w:highlight w:val="none"/>
          <w:lang w:val="ru-RU"/>
        </w:rPr>
        <w:t>201</w:t>
      </w:r>
      <w:r>
        <w:rPr>
          <w:rFonts w:hint="eastAsia" w:ascii="Calibri"/>
          <w:color w:val="000000" w:themeColor="text1"/>
          <w:spacing w:val="-1"/>
          <w:highlight w:val="none"/>
          <w:lang w:val="ru-RU"/>
        </w:rPr>
        <w:t>9</w:t>
      </w:r>
      <w:r>
        <w:rPr>
          <w:rFonts w:ascii="KLRFJD+ËÎÌå" w:hAnsi="KLRFJD+ËÎÌå" w:cs="KLRFJD+ËÎÌå"/>
          <w:color w:val="000000" w:themeColor="text1"/>
          <w:highlight w:val="none"/>
          <w:lang w:val="ru-RU"/>
        </w:rPr>
        <w:t>年</w:t>
      </w:r>
      <w:r>
        <w:rPr>
          <w:rFonts w:hint="eastAsia" w:ascii="KLRFJD+ËÎÌå" w:hAnsi="KLRFJD+ËÎÌå" w:cs="KLRFJD+ËÎÌå"/>
          <w:color w:val="000000" w:themeColor="text1"/>
          <w:highlight w:val="none"/>
          <w:lang w:val="en-US" w:eastAsia="zh-CN"/>
        </w:rPr>
        <w:t>11</w:t>
      </w:r>
      <w:r>
        <w:rPr>
          <w:rFonts w:hint="eastAsia" w:ascii="KLRFJD+ËÎÌå" w:hAnsi="KLRFJD+ËÎÌå" w:cs="KLRFJD+ËÎÌå"/>
          <w:color w:val="000000" w:themeColor="text1"/>
          <w:highlight w:val="none"/>
        </w:rPr>
        <w:t xml:space="preserve"> </w:t>
      </w:r>
      <w:r>
        <w:rPr>
          <w:rFonts w:ascii="KLRFJD+ËÎÌå" w:hAnsi="KLRFJD+ËÎÌå" w:cs="KLRFJD+ËÎÌå"/>
          <w:color w:val="000000" w:themeColor="text1"/>
          <w:highlight w:val="none"/>
          <w:lang w:val="ru-RU"/>
        </w:rPr>
        <w:t>月</w:t>
      </w:r>
      <w:r>
        <w:rPr>
          <w:rFonts w:hint="eastAsia" w:ascii="KLRFJD+ËÎÌå" w:hAnsi="KLRFJD+ËÎÌå" w:cs="KLRFJD+ËÎÌå"/>
          <w:color w:val="000000" w:themeColor="text1"/>
          <w:highlight w:val="none"/>
          <w:lang w:val="en-US" w:eastAsia="zh-CN"/>
        </w:rPr>
        <w:t>15</w:t>
      </w:r>
      <w:r>
        <w:rPr>
          <w:rFonts w:ascii="KLRFJD+ËÎÌå" w:hAnsi="KLRFJD+ËÎÌå" w:cs="KLRFJD+ËÎÌå"/>
          <w:color w:val="000000" w:themeColor="text1"/>
          <w:highlight w:val="none"/>
          <w:lang w:val="ru-RU"/>
        </w:rPr>
        <w:t>日</w:t>
      </w:r>
      <w:r>
        <w:rPr>
          <w:rFonts w:hint="eastAsia" w:ascii="KLRFJD+ËÎÌå" w:hAnsi="KLRFJD+ËÎÌå" w:cs="KLRFJD+ËÎÌå"/>
          <w:color w:val="000000" w:themeColor="text1"/>
          <w:highlight w:val="none"/>
        </w:rPr>
        <w:t>09</w:t>
      </w:r>
      <w:r>
        <w:rPr>
          <w:rFonts w:ascii="KLRFJD+ËÎÌå" w:hAnsi="KLRFJD+ËÎÌå" w:cs="KLRFJD+ËÎÌå"/>
          <w:color w:val="000000" w:themeColor="text1"/>
          <w:highlight w:val="none"/>
          <w:lang w:val="ru-RU"/>
        </w:rPr>
        <w:t>时</w:t>
      </w:r>
      <w:r>
        <w:rPr>
          <w:rFonts w:hint="eastAsia" w:ascii="KLRFJD+ËÎÌå" w:hAnsi="KLRFJD+ËÎÌå" w:cs="KLRFJD+ËÎÌå"/>
          <w:color w:val="000000" w:themeColor="text1"/>
          <w:highlight w:val="none"/>
        </w:rPr>
        <w:t>59</w:t>
      </w:r>
      <w:r>
        <w:rPr>
          <w:rFonts w:ascii="KLRFJD+ËÎÌå" w:hAnsi="KLRFJD+ËÎÌå" w:cs="KLRFJD+ËÎÌå"/>
          <w:color w:val="000000" w:themeColor="text1"/>
          <w:highlight w:val="none"/>
          <w:lang w:val="ru-RU"/>
        </w:rPr>
        <w:t>分</w:t>
      </w:r>
    </w:p>
    <w:p>
      <w:pPr>
        <w:widowControl/>
        <w:spacing w:before="214" w:line="268" w:lineRule="exact"/>
        <w:ind w:left="420" w:firstLine="416"/>
        <w:jc w:val="left"/>
        <w:rPr>
          <w:rFonts w:ascii="KLRFJD+ËÎÌå" w:hAnsi="KLRFJD+ËÎÌå" w:cs="KLRFJD+ËÎÌå"/>
          <w:color w:val="000000" w:themeColor="text1"/>
          <w:spacing w:val="-3"/>
          <w:highlight w:val="none"/>
          <w:lang w:val="ru-RU"/>
        </w:rPr>
      </w:pPr>
      <w:r>
        <w:rPr>
          <w:rFonts w:ascii="KLRFJD+ËÎÌå" w:hAnsi="KLRFJD+ËÎÌå" w:cs="KLRFJD+ËÎÌå"/>
          <w:color w:val="000000" w:themeColor="text1"/>
          <w:spacing w:val="-7"/>
          <w:highlight w:val="none"/>
          <w:lang w:val="ru-RU"/>
        </w:rPr>
        <w:t>获取方式：</w:t>
      </w:r>
      <w:r>
        <w:rPr>
          <w:rFonts w:ascii="KLRFJD+ËÎÌå" w:hAnsi="KLRFJD+ËÎÌå" w:cs="KLRFJD+ËÎÌå"/>
          <w:color w:val="000000" w:themeColor="text1"/>
          <w:highlight w:val="none"/>
          <w:lang w:val="ru-RU"/>
        </w:rPr>
        <w:t>凡愿意参加的潜在投标人，从本公告发布之日起至投标截止时间前，均可登录（www.cqiic.com）直接下载获取招标文件、答疑等开标前的有关资料。在公告期间，各投标人应随时关注网上发布的招标文件答疑、补遗、澄清等文件内容，不管投标人是否下载，均视为已知晓招标文件的全部内容和有关事宜。本项目不需要报名，直接投标。</w:t>
      </w:r>
    </w:p>
    <w:p>
      <w:pPr>
        <w:widowControl/>
        <w:spacing w:before="232" w:line="250" w:lineRule="exact"/>
        <w:jc w:val="left"/>
        <w:rPr>
          <w:rFonts w:ascii="KLRFJD+ËÎÌå"/>
          <w:color w:val="000000" w:themeColor="text1"/>
          <w:sz w:val="24"/>
          <w:highlight w:val="none"/>
          <w:lang w:val="ru-RU"/>
        </w:rPr>
      </w:pPr>
      <w:r>
        <w:rPr>
          <w:rFonts w:ascii="KLRFJD+ËÎÌå" w:hAnsi="KLRFJD+ËÎÌå" w:cs="KLRFJD+ËÎÌå"/>
          <w:color w:val="000000" w:themeColor="text1"/>
          <w:spacing w:val="1"/>
          <w:sz w:val="24"/>
          <w:highlight w:val="none"/>
          <w:lang w:val="ru-RU"/>
        </w:rPr>
        <w:t>五、投标文件的递交</w:t>
      </w:r>
    </w:p>
    <w:p>
      <w:pPr>
        <w:widowControl/>
        <w:spacing w:before="223" w:line="268" w:lineRule="exact"/>
        <w:ind w:left="420"/>
        <w:jc w:val="left"/>
        <w:rPr>
          <w:rFonts w:ascii="KLRFJD+ËÎÌå"/>
          <w:color w:val="000000" w:themeColor="text1"/>
          <w:highlight w:val="none"/>
          <w:lang w:val="ru-RU"/>
        </w:rPr>
      </w:pPr>
      <w:r>
        <w:rPr>
          <w:rFonts w:ascii="KLRFJD+ËÎÌå" w:hAnsi="KLRFJD+ËÎÌå" w:cs="KLRFJD+ËÎÌå"/>
          <w:color w:val="000000" w:themeColor="text1"/>
          <w:spacing w:val="-1"/>
          <w:highlight w:val="none"/>
          <w:lang w:val="ru-RU"/>
        </w:rPr>
        <w:t>递交截止时间：</w:t>
      </w:r>
      <w:r>
        <w:rPr>
          <w:rFonts w:ascii="Calibri"/>
          <w:color w:val="000000" w:themeColor="text1"/>
          <w:spacing w:val="-1"/>
          <w:highlight w:val="none"/>
          <w:lang w:val="ru-RU"/>
        </w:rPr>
        <w:t>201</w:t>
      </w:r>
      <w:r>
        <w:rPr>
          <w:rFonts w:hint="eastAsia" w:ascii="Calibri"/>
          <w:color w:val="000000" w:themeColor="text1"/>
          <w:spacing w:val="-1"/>
          <w:highlight w:val="none"/>
          <w:lang w:val="ru-RU"/>
        </w:rPr>
        <w:t>9</w:t>
      </w:r>
      <w:r>
        <w:rPr>
          <w:rFonts w:ascii="KLRFJD+ËÎÌå" w:hAnsi="KLRFJD+ËÎÌå" w:cs="KLRFJD+ËÎÌå"/>
          <w:color w:val="000000" w:themeColor="text1"/>
          <w:highlight w:val="none"/>
          <w:lang w:val="ru-RU"/>
        </w:rPr>
        <w:t>年</w:t>
      </w:r>
      <w:r>
        <w:rPr>
          <w:rFonts w:hint="eastAsia" w:ascii="KLRFJD+ËÎÌå" w:hAnsi="KLRFJD+ËÎÌå" w:cs="KLRFJD+ËÎÌå"/>
          <w:color w:val="000000" w:themeColor="text1"/>
          <w:highlight w:val="none"/>
        </w:rPr>
        <w:t xml:space="preserve"> </w:t>
      </w:r>
      <w:r>
        <w:rPr>
          <w:rFonts w:hint="eastAsia" w:ascii="KLRFJD+ËÎÌå" w:hAnsi="KLRFJD+ËÎÌå" w:cs="KLRFJD+ËÎÌå"/>
          <w:color w:val="000000" w:themeColor="text1"/>
          <w:highlight w:val="none"/>
          <w:lang w:val="en-US" w:eastAsia="zh-CN"/>
        </w:rPr>
        <w:t>11</w:t>
      </w:r>
      <w:r>
        <w:rPr>
          <w:rFonts w:ascii="KLRFJD+ËÎÌå" w:hAnsi="KLRFJD+ËÎÌå" w:cs="KLRFJD+ËÎÌå"/>
          <w:color w:val="000000" w:themeColor="text1"/>
          <w:highlight w:val="none"/>
          <w:lang w:val="ru-RU"/>
        </w:rPr>
        <w:t>月</w:t>
      </w:r>
      <w:r>
        <w:rPr>
          <w:rFonts w:hint="eastAsia" w:ascii="KLRFJD+ËÎÌå" w:hAnsi="KLRFJD+ËÎÌå" w:cs="KLRFJD+ËÎÌå"/>
          <w:color w:val="000000" w:themeColor="text1"/>
          <w:highlight w:val="none"/>
        </w:rPr>
        <w:t xml:space="preserve"> </w:t>
      </w:r>
      <w:r>
        <w:rPr>
          <w:rFonts w:hint="eastAsia" w:ascii="KLRFJD+ËÎÌå" w:hAnsi="KLRFJD+ËÎÌå" w:cs="KLRFJD+ËÎÌå"/>
          <w:color w:val="000000" w:themeColor="text1"/>
          <w:highlight w:val="none"/>
          <w:lang w:val="en-US" w:eastAsia="zh-CN"/>
        </w:rPr>
        <w:t>15</w:t>
      </w:r>
      <w:r>
        <w:rPr>
          <w:rFonts w:ascii="KLRFJD+ËÎÌå" w:hAnsi="KLRFJD+ËÎÌå" w:cs="KLRFJD+ËÎÌå"/>
          <w:color w:val="000000" w:themeColor="text1"/>
          <w:highlight w:val="none"/>
          <w:lang w:val="ru-RU"/>
        </w:rPr>
        <w:t>日</w:t>
      </w:r>
      <w:r>
        <w:rPr>
          <w:rFonts w:ascii="Calibri"/>
          <w:color w:val="000000" w:themeColor="text1"/>
          <w:spacing w:val="-1"/>
          <w:highlight w:val="none"/>
          <w:lang w:val="ru-RU"/>
        </w:rPr>
        <w:t>10</w:t>
      </w:r>
      <w:r>
        <w:rPr>
          <w:rFonts w:ascii="KLRFJD+ËÎÌå" w:hAnsi="KLRFJD+ËÎÌå" w:cs="KLRFJD+ËÎÌå"/>
          <w:color w:val="000000" w:themeColor="text1"/>
          <w:highlight w:val="none"/>
          <w:lang w:val="ru-RU"/>
        </w:rPr>
        <w:t>时</w:t>
      </w:r>
      <w:r>
        <w:rPr>
          <w:rFonts w:ascii="Calibri"/>
          <w:color w:val="000000" w:themeColor="text1"/>
          <w:spacing w:val="-1"/>
          <w:highlight w:val="none"/>
          <w:lang w:val="ru-RU"/>
        </w:rPr>
        <w:t>00</w:t>
      </w:r>
      <w:r>
        <w:rPr>
          <w:rFonts w:ascii="KLRFJD+ËÎÌå" w:hAnsi="KLRFJD+ËÎÌå" w:cs="KLRFJD+ËÎÌå"/>
          <w:color w:val="000000" w:themeColor="text1"/>
          <w:highlight w:val="none"/>
          <w:lang w:val="ru-RU"/>
        </w:rPr>
        <w:t>分</w:t>
      </w:r>
    </w:p>
    <w:p>
      <w:pPr>
        <w:widowControl/>
        <w:spacing w:before="153" w:line="221" w:lineRule="exact"/>
        <w:ind w:left="420"/>
        <w:jc w:val="left"/>
        <w:rPr>
          <w:rFonts w:ascii="KLRFJD+ËÎÌå"/>
          <w:color w:val="000000" w:themeColor="text1"/>
          <w:highlight w:val="none"/>
          <w:lang w:val="ru-RU"/>
        </w:rPr>
      </w:pPr>
      <w:r>
        <w:rPr>
          <w:rFonts w:ascii="KLRFJD+ËÎÌå" w:hAnsi="KLRFJD+ËÎÌå" w:cs="KLRFJD+ËÎÌå"/>
          <w:color w:val="000000" w:themeColor="text1"/>
          <w:spacing w:val="-1"/>
          <w:highlight w:val="none"/>
          <w:lang w:val="ru-RU"/>
        </w:rPr>
        <w:t>递交方式：</w:t>
      </w:r>
      <w:r>
        <w:rPr>
          <w:rFonts w:cs="KLRFJD+ËÎÌå" w:asciiTheme="minorEastAsia" w:hAnsiTheme="minorEastAsia"/>
          <w:color w:val="000000" w:themeColor="text1"/>
          <w:spacing w:val="-1"/>
          <w:highlight w:val="none"/>
          <w:lang w:val="ru-RU"/>
        </w:rPr>
        <w:t>重庆市江北区五里店五简路2号重庆咨询大厦开标厅（详见A栋一楼指示屏）</w:t>
      </w:r>
      <w:r>
        <w:rPr>
          <w:rFonts w:hint="eastAsia" w:cs="KLRFJD+ËÎÌå" w:asciiTheme="minorEastAsia" w:hAnsiTheme="minorEastAsia"/>
          <w:color w:val="000000" w:themeColor="text1"/>
          <w:spacing w:val="-1"/>
          <w:highlight w:val="none"/>
          <w:lang w:val="ru-RU"/>
        </w:rPr>
        <w:t>。</w:t>
      </w:r>
      <w:r>
        <w:rPr>
          <w:rFonts w:ascii="KLRFJD+ËÎÌå" w:hAnsi="KLRFJD+ËÎÌå" w:cs="KLRFJD+ËÎÌå"/>
          <w:color w:val="000000" w:themeColor="text1"/>
          <w:spacing w:val="-6"/>
          <w:highlight w:val="none"/>
          <w:lang w:val="ru-RU"/>
        </w:rPr>
        <w:t>现场递交。</w:t>
      </w:r>
    </w:p>
    <w:p>
      <w:pPr>
        <w:widowControl/>
        <w:spacing w:before="128" w:line="250" w:lineRule="exact"/>
        <w:jc w:val="left"/>
        <w:rPr>
          <w:rFonts w:ascii="KLRFJD+ËÎÌå"/>
          <w:color w:val="000000" w:themeColor="text1"/>
          <w:sz w:val="24"/>
          <w:highlight w:val="none"/>
          <w:lang w:val="ru-RU"/>
        </w:rPr>
      </w:pPr>
      <w:r>
        <w:rPr>
          <w:rFonts w:ascii="KLRFJD+ËÎÌå" w:hAnsi="KLRFJD+ËÎÌå" w:cs="KLRFJD+ËÎÌå"/>
          <w:color w:val="000000" w:themeColor="text1"/>
          <w:spacing w:val="1"/>
          <w:sz w:val="24"/>
          <w:highlight w:val="none"/>
          <w:lang w:val="ru-RU"/>
        </w:rPr>
        <w:t>六、开标时间及地点</w:t>
      </w:r>
    </w:p>
    <w:p>
      <w:pPr>
        <w:widowControl/>
        <w:spacing w:before="156" w:line="268" w:lineRule="exact"/>
        <w:ind w:left="420"/>
        <w:jc w:val="left"/>
        <w:rPr>
          <w:rFonts w:ascii="KLRFJD+ËÎÌå"/>
          <w:color w:val="000000" w:themeColor="text1"/>
          <w:highlight w:val="none"/>
          <w:lang w:val="ru-RU"/>
        </w:rPr>
      </w:pPr>
      <w:r>
        <w:rPr>
          <w:rFonts w:ascii="KLRFJD+ËÎÌå" w:hAnsi="KLRFJD+ËÎÌå" w:cs="KLRFJD+ËÎÌå"/>
          <w:color w:val="000000" w:themeColor="text1"/>
          <w:spacing w:val="-1"/>
          <w:highlight w:val="none"/>
          <w:lang w:val="ru-RU"/>
        </w:rPr>
        <w:t>开标时间：</w:t>
      </w:r>
      <w:r>
        <w:rPr>
          <w:rFonts w:ascii="Calibri"/>
          <w:color w:val="000000" w:themeColor="text1"/>
          <w:spacing w:val="-1"/>
          <w:highlight w:val="none"/>
          <w:lang w:val="ru-RU"/>
        </w:rPr>
        <w:t>201</w:t>
      </w:r>
      <w:r>
        <w:rPr>
          <w:rFonts w:hint="eastAsia" w:ascii="Calibri"/>
          <w:color w:val="000000" w:themeColor="text1"/>
          <w:spacing w:val="-1"/>
          <w:highlight w:val="none"/>
          <w:lang w:val="ru-RU"/>
        </w:rPr>
        <w:t>9</w:t>
      </w:r>
      <w:r>
        <w:rPr>
          <w:rFonts w:ascii="KLRFJD+ËÎÌå" w:hAnsi="KLRFJD+ËÎÌå" w:cs="KLRFJD+ËÎÌå"/>
          <w:color w:val="000000" w:themeColor="text1"/>
          <w:highlight w:val="none"/>
          <w:lang w:val="ru-RU"/>
        </w:rPr>
        <w:t>年</w:t>
      </w:r>
      <w:r>
        <w:rPr>
          <w:rFonts w:hint="eastAsia" w:ascii="KLRFJD+ËÎÌå" w:hAnsi="KLRFJD+ËÎÌå" w:cs="KLRFJD+ËÎÌå"/>
          <w:color w:val="000000" w:themeColor="text1"/>
          <w:highlight w:val="none"/>
        </w:rPr>
        <w:t xml:space="preserve"> </w:t>
      </w:r>
      <w:r>
        <w:rPr>
          <w:rFonts w:hint="eastAsia" w:ascii="KLRFJD+ËÎÌå" w:hAnsi="KLRFJD+ËÎÌå" w:cs="KLRFJD+ËÎÌå"/>
          <w:color w:val="000000" w:themeColor="text1"/>
          <w:highlight w:val="none"/>
          <w:lang w:val="en-US" w:eastAsia="zh-CN"/>
        </w:rPr>
        <w:t>11</w:t>
      </w:r>
      <w:r>
        <w:rPr>
          <w:rFonts w:ascii="KLRFJD+ËÎÌå" w:hAnsi="KLRFJD+ËÎÌå" w:cs="KLRFJD+ËÎÌå"/>
          <w:color w:val="000000" w:themeColor="text1"/>
          <w:highlight w:val="none"/>
          <w:lang w:val="ru-RU"/>
        </w:rPr>
        <w:t>月</w:t>
      </w:r>
      <w:r>
        <w:rPr>
          <w:rFonts w:hint="eastAsia" w:ascii="KLRFJD+ËÎÌå" w:hAnsi="KLRFJD+ËÎÌå" w:cs="KLRFJD+ËÎÌå"/>
          <w:color w:val="000000" w:themeColor="text1"/>
          <w:highlight w:val="none"/>
          <w:lang w:val="en-US" w:eastAsia="zh-CN"/>
        </w:rPr>
        <w:t>15</w:t>
      </w:r>
      <w:r>
        <w:rPr>
          <w:rFonts w:hint="eastAsia" w:ascii="KLRFJD+ËÎÌå" w:hAnsi="KLRFJD+ËÎÌå" w:cs="KLRFJD+ËÎÌå"/>
          <w:color w:val="000000" w:themeColor="text1"/>
          <w:highlight w:val="none"/>
        </w:rPr>
        <w:t xml:space="preserve"> </w:t>
      </w:r>
      <w:r>
        <w:rPr>
          <w:rFonts w:ascii="KLRFJD+ËÎÌå" w:hAnsi="KLRFJD+ËÎÌå" w:cs="KLRFJD+ËÎÌå"/>
          <w:color w:val="000000" w:themeColor="text1"/>
          <w:highlight w:val="none"/>
          <w:lang w:val="ru-RU"/>
        </w:rPr>
        <w:t>日</w:t>
      </w:r>
      <w:r>
        <w:rPr>
          <w:rFonts w:ascii="Calibri"/>
          <w:color w:val="000000" w:themeColor="text1"/>
          <w:spacing w:val="-1"/>
          <w:highlight w:val="none"/>
          <w:lang w:val="ru-RU"/>
        </w:rPr>
        <w:t>10</w:t>
      </w:r>
      <w:r>
        <w:rPr>
          <w:rFonts w:ascii="KLRFJD+ËÎÌå" w:hAnsi="KLRFJD+ËÎÌå" w:cs="KLRFJD+ËÎÌå"/>
          <w:color w:val="000000" w:themeColor="text1"/>
          <w:highlight w:val="none"/>
          <w:lang w:val="ru-RU"/>
        </w:rPr>
        <w:t>时</w:t>
      </w:r>
      <w:r>
        <w:rPr>
          <w:rFonts w:ascii="Calibri"/>
          <w:color w:val="000000" w:themeColor="text1"/>
          <w:spacing w:val="-1"/>
          <w:highlight w:val="none"/>
          <w:lang w:val="ru-RU"/>
        </w:rPr>
        <w:t>00</w:t>
      </w:r>
      <w:r>
        <w:rPr>
          <w:rFonts w:ascii="KLRFJD+ËÎÌå" w:hAnsi="KLRFJD+ËÎÌå" w:cs="KLRFJD+ËÎÌå"/>
          <w:color w:val="000000" w:themeColor="text1"/>
          <w:highlight w:val="none"/>
          <w:lang w:val="ru-RU"/>
        </w:rPr>
        <w:t>分</w:t>
      </w:r>
    </w:p>
    <w:p>
      <w:pPr>
        <w:widowControl/>
        <w:spacing w:before="150" w:line="221" w:lineRule="exact"/>
        <w:ind w:left="420"/>
        <w:jc w:val="left"/>
        <w:rPr>
          <w:rFonts w:ascii="KLRFJD+ËÎÌå"/>
          <w:color w:val="000000" w:themeColor="text1"/>
          <w:highlight w:val="none"/>
          <w:lang w:val="ru-RU"/>
        </w:rPr>
      </w:pPr>
      <w:r>
        <w:rPr>
          <w:rFonts w:ascii="KLRFJD+ËÎÌå" w:hAnsi="KLRFJD+ËÎÌå" w:cs="KLRFJD+ËÎÌå"/>
          <w:color w:val="000000" w:themeColor="text1"/>
          <w:spacing w:val="-1"/>
          <w:highlight w:val="none"/>
          <w:lang w:val="ru-RU"/>
        </w:rPr>
        <w:t>开标地点：</w:t>
      </w:r>
      <w:r>
        <w:rPr>
          <w:rFonts w:hint="eastAsia" w:ascii="KLRFJD+ËÎÌå" w:hAnsi="KLRFJD+ËÎÌå" w:cs="KLRFJD+ËÎÌå"/>
          <w:color w:val="000000" w:themeColor="text1"/>
          <w:spacing w:val="-1"/>
          <w:highlight w:val="none"/>
          <w:lang w:val="ru-RU"/>
        </w:rPr>
        <w:t>重庆市江北区五里店五简路2号重庆咨询大厦开标厅（详见A栋一楼指示屏）。</w:t>
      </w:r>
    </w:p>
    <w:p>
      <w:pPr>
        <w:widowControl/>
        <w:spacing w:before="128" w:line="250" w:lineRule="exact"/>
        <w:jc w:val="left"/>
        <w:rPr>
          <w:rFonts w:ascii="KLRFJD+ËÎÌå"/>
          <w:color w:val="000000" w:themeColor="text1"/>
          <w:sz w:val="24"/>
          <w:highlight w:val="none"/>
          <w:lang w:val="ru-RU"/>
        </w:rPr>
      </w:pPr>
      <w:r>
        <w:rPr>
          <w:rFonts w:ascii="KLRFJD+ËÎÌå" w:hAnsi="KLRFJD+ËÎÌå" w:cs="KLRFJD+ËÎÌå"/>
          <w:color w:val="000000" w:themeColor="text1"/>
          <w:spacing w:val="1"/>
          <w:sz w:val="24"/>
          <w:highlight w:val="none"/>
          <w:lang w:val="ru-RU"/>
        </w:rPr>
        <w:t>七、其他</w:t>
      </w:r>
    </w:p>
    <w:p>
      <w:pPr>
        <w:widowControl/>
        <w:spacing w:before="144" w:line="268" w:lineRule="exact"/>
        <w:ind w:left="422"/>
        <w:jc w:val="left"/>
        <w:rPr>
          <w:rFonts w:ascii="Calibri"/>
          <w:color w:val="000000" w:themeColor="text1"/>
          <w:spacing w:val="1"/>
          <w:highlight w:val="none"/>
          <w:lang w:val="ru-RU"/>
        </w:rPr>
      </w:pPr>
      <w:r>
        <w:rPr>
          <w:rFonts w:ascii="Calibri"/>
          <w:color w:val="000000" w:themeColor="text1"/>
          <w:spacing w:val="1"/>
          <w:highlight w:val="none"/>
          <w:lang w:val="ru-RU"/>
        </w:rPr>
        <w:t>（1）货物规格型号及数量：</w:t>
      </w:r>
      <w:r>
        <w:rPr>
          <w:rFonts w:hint="eastAsia" w:ascii="Calibri"/>
          <w:color w:val="000000" w:themeColor="text1"/>
          <w:spacing w:val="1"/>
          <w:highlight w:val="none"/>
          <w:lang w:val="ru-RU"/>
        </w:rPr>
        <w:t>详见</w:t>
      </w:r>
      <w:r>
        <w:rPr>
          <w:rFonts w:ascii="Calibri"/>
          <w:color w:val="000000" w:themeColor="text1"/>
          <w:spacing w:val="1"/>
          <w:highlight w:val="none"/>
          <w:lang w:val="ru-RU"/>
        </w:rPr>
        <w:t>第五章《项目需求》</w:t>
      </w:r>
      <w:r>
        <w:rPr>
          <w:rFonts w:hint="eastAsia" w:ascii="Calibri"/>
          <w:color w:val="000000" w:themeColor="text1"/>
          <w:spacing w:val="1"/>
          <w:highlight w:val="none"/>
          <w:lang w:val="ru-RU"/>
        </w:rPr>
        <w:t>。</w:t>
      </w:r>
    </w:p>
    <w:p>
      <w:pPr>
        <w:widowControl/>
        <w:spacing w:before="144" w:line="268" w:lineRule="exact"/>
        <w:ind w:left="422"/>
        <w:jc w:val="left"/>
        <w:rPr>
          <w:rFonts w:ascii="Calibri"/>
          <w:color w:val="000000" w:themeColor="text1"/>
          <w:spacing w:val="1"/>
          <w:highlight w:val="none"/>
          <w:lang w:val="ru-RU"/>
        </w:rPr>
      </w:pPr>
      <w:r>
        <w:rPr>
          <w:rFonts w:ascii="Calibri"/>
          <w:color w:val="000000" w:themeColor="text1"/>
          <w:spacing w:val="1"/>
          <w:highlight w:val="none"/>
          <w:lang w:val="ru-RU"/>
        </w:rPr>
        <w:t>（2）供货时间：</w:t>
      </w:r>
      <w:r>
        <w:rPr>
          <w:rFonts w:hint="eastAsia" w:ascii="Calibri"/>
          <w:color w:val="000000" w:themeColor="text1"/>
          <w:spacing w:val="1"/>
          <w:highlight w:val="none"/>
          <w:lang w:val="ru-RU"/>
        </w:rPr>
        <w:t>收到订单后10-12日内完成空白卡生产并配送到指定地点；如遇新品种，经采购方同意，延期不超过5日；采购方有加急需求，能7日内生产并送达指定地点。</w:t>
      </w:r>
    </w:p>
    <w:p>
      <w:pPr>
        <w:widowControl/>
        <w:spacing w:before="144" w:line="268" w:lineRule="exact"/>
        <w:ind w:left="422"/>
        <w:jc w:val="left"/>
        <w:rPr>
          <w:rFonts w:ascii="Calibri"/>
          <w:color w:val="000000" w:themeColor="text1"/>
          <w:spacing w:val="1"/>
          <w:highlight w:val="none"/>
          <w:lang w:val="ru-RU"/>
        </w:rPr>
      </w:pPr>
      <w:r>
        <w:rPr>
          <w:rFonts w:ascii="Calibri"/>
          <w:color w:val="000000" w:themeColor="text1"/>
          <w:spacing w:val="1"/>
          <w:highlight w:val="none"/>
          <w:lang w:val="ru-RU"/>
        </w:rPr>
        <w:t>（3）交货/安装地点：</w:t>
      </w:r>
      <w:r>
        <w:rPr>
          <w:rFonts w:hint="eastAsia" w:ascii="Calibri"/>
          <w:color w:val="000000" w:themeColor="text1"/>
          <w:spacing w:val="1"/>
          <w:highlight w:val="none"/>
          <w:lang w:val="ru-RU"/>
        </w:rPr>
        <w:t>货物需免费配送至重庆银行指定库房，并按我行要求安置（目前为重庆市渝中区临江门重庆银行大楼5楼制卡室）。</w:t>
      </w:r>
    </w:p>
    <w:p>
      <w:pPr>
        <w:widowControl/>
        <w:spacing w:before="144" w:line="268" w:lineRule="exact"/>
        <w:ind w:firstLine="424" w:firstLineChars="200"/>
        <w:jc w:val="left"/>
        <w:rPr>
          <w:rFonts w:ascii="Calibri"/>
          <w:color w:val="000000" w:themeColor="text1"/>
          <w:spacing w:val="1"/>
          <w:highlight w:val="none"/>
          <w:lang w:val="ru-RU"/>
        </w:rPr>
      </w:pPr>
      <w:r>
        <w:rPr>
          <w:rFonts w:hint="eastAsia" w:ascii="Calibri"/>
          <w:color w:val="000000" w:themeColor="text1"/>
          <w:spacing w:val="1"/>
          <w:highlight w:val="none"/>
          <w:lang w:val="ru-RU"/>
        </w:rPr>
        <w:t>（</w:t>
      </w:r>
      <w:r>
        <w:rPr>
          <w:rFonts w:hint="cs" w:ascii="Calibri"/>
          <w:color w:val="000000" w:themeColor="text1"/>
          <w:spacing w:val="1"/>
          <w:highlight w:val="none"/>
          <w:lang w:val="ru-RU"/>
        </w:rPr>
        <w:t>4</w:t>
      </w:r>
      <w:r>
        <w:rPr>
          <w:rFonts w:hint="eastAsia" w:ascii="Calibri"/>
          <w:color w:val="000000" w:themeColor="text1"/>
          <w:spacing w:val="1"/>
          <w:highlight w:val="none"/>
          <w:lang w:val="ru-RU"/>
        </w:rPr>
        <w:t>）售后服务要求：</w:t>
      </w:r>
    </w:p>
    <w:p>
      <w:pPr>
        <w:widowControl/>
        <w:spacing w:before="144" w:line="268" w:lineRule="exact"/>
        <w:ind w:firstLine="424" w:firstLineChars="200"/>
        <w:jc w:val="left"/>
        <w:rPr>
          <w:rFonts w:ascii="Calibri"/>
          <w:color w:val="000000" w:themeColor="text1"/>
          <w:spacing w:val="1"/>
          <w:highlight w:val="none"/>
          <w:lang w:val="ru-RU"/>
        </w:rPr>
      </w:pPr>
      <w:r>
        <w:rPr>
          <w:rFonts w:hint="eastAsia" w:ascii="Calibri"/>
          <w:color w:val="000000" w:themeColor="text1"/>
          <w:spacing w:val="1"/>
          <w:highlight w:val="none"/>
        </w:rPr>
        <w:t>1）</w:t>
      </w:r>
      <w:r>
        <w:rPr>
          <w:rFonts w:hint="eastAsia" w:ascii="Calibri"/>
          <w:color w:val="000000" w:themeColor="text1"/>
          <w:spacing w:val="1"/>
          <w:highlight w:val="none"/>
          <w:lang w:val="ru-RU"/>
        </w:rPr>
        <w:t>质保期十年；</w:t>
      </w:r>
    </w:p>
    <w:p>
      <w:pPr>
        <w:widowControl/>
        <w:spacing w:before="144" w:line="268" w:lineRule="exact"/>
        <w:ind w:firstLine="424" w:firstLineChars="200"/>
        <w:jc w:val="left"/>
        <w:rPr>
          <w:rFonts w:ascii="Calibri"/>
          <w:color w:val="000000" w:themeColor="text1"/>
          <w:spacing w:val="1"/>
          <w:highlight w:val="none"/>
          <w:lang w:val="ru-RU"/>
        </w:rPr>
      </w:pPr>
      <w:r>
        <w:rPr>
          <w:rFonts w:hint="eastAsia" w:ascii="Calibri"/>
          <w:color w:val="000000" w:themeColor="text1"/>
          <w:spacing w:val="1"/>
          <w:highlight w:val="none"/>
        </w:rPr>
        <w:t>2）</w:t>
      </w:r>
      <w:r>
        <w:rPr>
          <w:rFonts w:hint="eastAsia" w:ascii="Calibri"/>
          <w:color w:val="000000" w:themeColor="text1"/>
          <w:spacing w:val="1"/>
          <w:highlight w:val="none"/>
          <w:lang w:val="ru-RU"/>
        </w:rPr>
        <w:t>质保内外服务：供应商应保证提供的产品是全新、未使用过的卡片。我行可随时就未达到协议内技术指标要求的卡片向供货商提出异议，并由供货商无条件更换新卡。若供货商提供的卡片中，未达到协议内技术指标要求的问题卡片比率超过0.1％（包含0.1％），供货商承诺除补换新卡外，按照问题卡片价值的500％对我行进行赔偿。由于用户非正常使用条件下造成的质量损坏不包含在0.1%损坏率内，此类质量问题供货商无需承担质量责任。</w:t>
      </w:r>
    </w:p>
    <w:p>
      <w:pPr>
        <w:widowControl/>
        <w:spacing w:before="144" w:line="268" w:lineRule="exact"/>
        <w:ind w:firstLine="424" w:firstLineChars="200"/>
        <w:jc w:val="left"/>
        <w:rPr>
          <w:rFonts w:ascii="Calibri"/>
          <w:color w:val="000000" w:themeColor="text1"/>
          <w:spacing w:val="1"/>
          <w:highlight w:val="none"/>
          <w:lang w:val="ru-RU"/>
        </w:rPr>
      </w:pPr>
      <w:r>
        <w:rPr>
          <w:rFonts w:hint="eastAsia" w:ascii="Calibri"/>
          <w:color w:val="000000" w:themeColor="text1"/>
          <w:spacing w:val="1"/>
          <w:highlight w:val="none"/>
          <w:lang w:val="ru-RU"/>
        </w:rPr>
        <w:t>供应商应提供7*24小时电话支持，远程技术支持、现场故障解决等服务。</w:t>
      </w:r>
    </w:p>
    <w:p>
      <w:pPr>
        <w:widowControl/>
        <w:spacing w:before="144" w:line="268" w:lineRule="exact"/>
        <w:ind w:firstLine="424" w:firstLineChars="200"/>
        <w:jc w:val="left"/>
        <w:rPr>
          <w:rFonts w:ascii="Calibri"/>
          <w:color w:val="000000" w:themeColor="text1"/>
          <w:spacing w:val="1"/>
          <w:highlight w:val="none"/>
          <w:lang w:val="ru-RU"/>
        </w:rPr>
      </w:pPr>
      <w:r>
        <w:rPr>
          <w:rFonts w:hint="eastAsia" w:ascii="Calibri"/>
          <w:color w:val="000000" w:themeColor="text1"/>
          <w:spacing w:val="1"/>
          <w:highlight w:val="none"/>
          <w:lang w:val="ru-RU"/>
        </w:rPr>
        <w:t>供应商应满足我行连续服务性管理目标要求，优先响应我行业务连续性目标和应急管理要求。如遇紧急事件，我行具有获取其外包服务资源的优先权。</w:t>
      </w:r>
    </w:p>
    <w:p>
      <w:pPr>
        <w:widowControl/>
        <w:spacing w:before="144" w:line="268" w:lineRule="exact"/>
        <w:ind w:firstLine="424" w:firstLineChars="200"/>
        <w:jc w:val="left"/>
        <w:rPr>
          <w:rFonts w:ascii="Calibri"/>
          <w:color w:val="000000" w:themeColor="text1"/>
          <w:highlight w:val="none"/>
        </w:rPr>
      </w:pPr>
      <w:r>
        <w:rPr>
          <w:rFonts w:hint="eastAsia" w:ascii="Calibri"/>
          <w:color w:val="000000" w:themeColor="text1"/>
          <w:spacing w:val="1"/>
          <w:highlight w:val="none"/>
          <w:lang w:val="ru-RU"/>
        </w:rPr>
        <w:t>培训：根据我行要求进行进行免费的培训和技术指导</w:t>
      </w:r>
      <w:r>
        <w:rPr>
          <w:rFonts w:hint="eastAsia" w:ascii="Calibri"/>
          <w:color w:val="000000" w:themeColor="text1"/>
          <w:highlight w:val="none"/>
        </w:rPr>
        <w:t>。</w:t>
      </w:r>
    </w:p>
    <w:p>
      <w:pPr>
        <w:widowControl/>
        <w:spacing w:before="144" w:line="268" w:lineRule="exact"/>
        <w:ind w:firstLine="424" w:firstLineChars="200"/>
        <w:jc w:val="left"/>
        <w:rPr>
          <w:rFonts w:ascii="Calibri"/>
          <w:color w:val="000000" w:themeColor="text1"/>
          <w:spacing w:val="1"/>
          <w:highlight w:val="none"/>
          <w:lang w:val="ru-RU"/>
        </w:rPr>
      </w:pPr>
      <w:r>
        <w:rPr>
          <w:rFonts w:ascii="Calibri"/>
          <w:color w:val="000000" w:themeColor="text1"/>
          <w:spacing w:val="1"/>
          <w:highlight w:val="none"/>
          <w:lang w:val="ru-RU"/>
        </w:rPr>
        <w:t>（</w:t>
      </w:r>
      <w:r>
        <w:rPr>
          <w:rFonts w:hint="eastAsia" w:ascii="Calibri"/>
          <w:color w:val="000000" w:themeColor="text1"/>
          <w:spacing w:val="1"/>
          <w:highlight w:val="none"/>
          <w:lang w:val="ru-RU"/>
        </w:rPr>
        <w:t>5</w:t>
      </w:r>
      <w:r>
        <w:rPr>
          <w:rFonts w:ascii="Calibri"/>
          <w:color w:val="000000" w:themeColor="text1"/>
          <w:spacing w:val="1"/>
          <w:highlight w:val="none"/>
          <w:lang w:val="ru-RU"/>
        </w:rPr>
        <w:t>）质量及验收要求：</w:t>
      </w:r>
    </w:p>
    <w:p>
      <w:pPr>
        <w:widowControl/>
        <w:spacing w:before="144" w:line="268" w:lineRule="exact"/>
        <w:ind w:firstLine="424" w:firstLineChars="200"/>
        <w:jc w:val="left"/>
        <w:rPr>
          <w:rFonts w:ascii="Calibri"/>
          <w:color w:val="000000" w:themeColor="text1"/>
          <w:spacing w:val="1"/>
          <w:highlight w:val="none"/>
          <w:lang w:val="ru-RU"/>
        </w:rPr>
      </w:pPr>
      <w:r>
        <w:rPr>
          <w:rFonts w:hint="eastAsia" w:ascii="Calibri"/>
          <w:color w:val="000000" w:themeColor="text1"/>
          <w:spacing w:val="1"/>
          <w:highlight w:val="none"/>
          <w:lang w:val="ru-RU"/>
        </w:rPr>
        <w:t xml:space="preserve">1）质量要求：能通过最新PBOC3.0标准检测，且满足M1功能，能够兼容各行业应用和加载；能够通过银行卡检测中心检测；符合中国银联、VISA国际组织、Mastercard国际组织的质量要求和技术标准，满足采购人个性化需求。  </w:t>
      </w:r>
    </w:p>
    <w:p>
      <w:pPr>
        <w:widowControl/>
        <w:spacing w:before="144" w:line="268" w:lineRule="exact"/>
        <w:ind w:firstLine="424" w:firstLineChars="200"/>
        <w:jc w:val="left"/>
        <w:rPr>
          <w:rFonts w:ascii="Calibri"/>
          <w:color w:val="000000" w:themeColor="text1"/>
          <w:spacing w:val="1"/>
          <w:highlight w:val="none"/>
          <w:lang w:val="ru-RU"/>
        </w:rPr>
      </w:pPr>
      <w:r>
        <w:rPr>
          <w:rFonts w:hint="eastAsia" w:ascii="Calibri"/>
          <w:color w:val="000000" w:themeColor="text1"/>
          <w:spacing w:val="1"/>
          <w:highlight w:val="none"/>
          <w:lang w:val="ru-RU"/>
        </w:rPr>
        <w:t>2）验收要求：收货方应在接到货物后15日内进行抽样验收，如货物存在质量问题，采购方应向供应商提出书面异议；若抽样未查出，以后采购方在使用时发现不合格货物，供应商应承担免费修复或更换。验收不合格的货物经双方确认后，采购人有权要求供应商免费更换合格货物，由此造成的逾期交货，供应商应承担相应经济责任。货物交付后，供应商对所售产品承担保修责任，无法修复的质量问题，供应商负责免费更换为合格货物；但由于采购人使用和保管不当造成损坏，供应商不承担保修及更换责任。</w:t>
      </w:r>
    </w:p>
    <w:p>
      <w:pPr>
        <w:widowControl/>
        <w:spacing w:before="144" w:line="268" w:lineRule="exact"/>
        <w:ind w:left="422"/>
        <w:jc w:val="left"/>
        <w:rPr>
          <w:rFonts w:ascii="Calibri"/>
          <w:color w:val="000000" w:themeColor="text1"/>
          <w:spacing w:val="1"/>
          <w:highlight w:val="none"/>
          <w:lang w:val="ru-RU"/>
        </w:rPr>
      </w:pPr>
      <w:r>
        <w:rPr>
          <w:rFonts w:ascii="Calibri"/>
          <w:color w:val="000000" w:themeColor="text1"/>
          <w:spacing w:val="1"/>
          <w:highlight w:val="none"/>
          <w:lang w:val="ru-RU"/>
        </w:rPr>
        <w:t>（</w:t>
      </w:r>
      <w:r>
        <w:rPr>
          <w:rFonts w:hint="eastAsia" w:ascii="Calibri"/>
          <w:color w:val="000000" w:themeColor="text1"/>
          <w:spacing w:val="1"/>
          <w:highlight w:val="none"/>
          <w:lang w:val="ru-RU"/>
        </w:rPr>
        <w:t>6</w:t>
      </w:r>
      <w:r>
        <w:rPr>
          <w:rFonts w:ascii="Calibri"/>
          <w:color w:val="000000" w:themeColor="text1"/>
          <w:spacing w:val="1"/>
          <w:highlight w:val="none"/>
          <w:lang w:val="ru-RU"/>
        </w:rPr>
        <w:t>）本次招标公告在中国招标投标公共服务平台</w:t>
      </w:r>
      <w:r>
        <w:rPr>
          <w:rFonts w:hint="eastAsia" w:ascii="Calibri"/>
          <w:color w:val="000000" w:themeColor="text1"/>
          <w:spacing w:val="1"/>
          <w:highlight w:val="none"/>
          <w:lang w:val="ru-RU"/>
        </w:rPr>
        <w:t>和（www.cqiic.com）</w:t>
      </w:r>
      <w:r>
        <w:rPr>
          <w:rFonts w:ascii="Calibri"/>
          <w:color w:val="000000" w:themeColor="text1"/>
          <w:spacing w:val="1"/>
          <w:highlight w:val="none"/>
          <w:lang w:val="ru-RU"/>
        </w:rPr>
        <w:t>上发布。</w:t>
      </w:r>
    </w:p>
    <w:p>
      <w:pPr>
        <w:widowControl/>
        <w:spacing w:before="144" w:line="268" w:lineRule="exact"/>
        <w:ind w:left="422"/>
        <w:jc w:val="left"/>
        <w:rPr>
          <w:rFonts w:ascii="Calibri"/>
          <w:color w:val="000000" w:themeColor="text1"/>
          <w:spacing w:val="1"/>
          <w:highlight w:val="none"/>
          <w:lang w:val="ru-RU"/>
        </w:rPr>
      </w:pPr>
      <w:r>
        <w:rPr>
          <w:rFonts w:hint="eastAsia" w:ascii="Calibri"/>
          <w:color w:val="000000" w:themeColor="text1"/>
          <w:spacing w:val="1"/>
          <w:highlight w:val="none"/>
          <w:lang w:val="ru-RU"/>
        </w:rPr>
        <w:t>（</w:t>
      </w:r>
      <w:r>
        <w:rPr>
          <w:rFonts w:hint="eastAsia" w:ascii="Calibri"/>
          <w:color w:val="000000" w:themeColor="text1"/>
          <w:spacing w:val="1"/>
          <w:highlight w:val="none"/>
        </w:rPr>
        <w:t>7</w:t>
      </w:r>
      <w:r>
        <w:rPr>
          <w:rFonts w:hint="eastAsia" w:ascii="Calibri"/>
          <w:color w:val="000000" w:themeColor="text1"/>
          <w:spacing w:val="1"/>
          <w:highlight w:val="none"/>
          <w:lang w:val="ru-RU"/>
        </w:rPr>
        <w:t>）请投标人按照招标文件附件的相关格式自行填列《投标人业绩表》，评标委员会将按照投标人自行填列的表1《资格要求案例评审表》进行初步评审，按照有效投标人自行填列的表2《评分要求案例评审表》及表3《跨行业应用能力案例表》进行详细评审。</w:t>
      </w:r>
    </w:p>
    <w:p>
      <w:pPr>
        <w:widowControl/>
        <w:spacing w:before="144" w:line="268" w:lineRule="exact"/>
        <w:jc w:val="left"/>
        <w:rPr>
          <w:rFonts w:ascii="KLRFJD+ËÎÌå"/>
          <w:color w:val="000000" w:themeColor="text1"/>
          <w:sz w:val="24"/>
          <w:highlight w:val="none"/>
          <w:lang w:val="ru-RU"/>
        </w:rPr>
      </w:pPr>
      <w:r>
        <w:rPr>
          <w:color w:val="000000" w:themeColor="text1"/>
          <w:sz w:val="22"/>
          <w:highlight w:val="none"/>
        </w:rPr>
        <w:drawing>
          <wp:anchor distT="0" distB="0" distL="114300" distR="114300" simplePos="0" relativeHeight="251649024" behindDoc="1" locked="0" layoutInCell="1" allowOverlap="1">
            <wp:simplePos x="0" y="0"/>
            <wp:positionH relativeFrom="page">
              <wp:posOffset>5136515</wp:posOffset>
            </wp:positionH>
            <wp:positionV relativeFrom="page">
              <wp:posOffset>6086475</wp:posOffset>
            </wp:positionV>
            <wp:extent cx="734695" cy="8890"/>
            <wp:effectExtent l="0" t="0" r="0" b="0"/>
            <wp:wrapNone/>
            <wp:docPr id="2" name="图片 2" descr="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age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734695" cy="8890"/>
                    </a:xfrm>
                    <a:prstGeom prst="rect">
                      <a:avLst/>
                    </a:prstGeom>
                    <a:noFill/>
                  </pic:spPr>
                </pic:pic>
              </a:graphicData>
            </a:graphic>
          </wp:anchor>
        </w:drawing>
      </w:r>
      <w:r>
        <w:rPr>
          <w:color w:val="000000" w:themeColor="text1"/>
          <w:sz w:val="22"/>
          <w:highlight w:val="none"/>
        </w:rPr>
        <w:drawing>
          <wp:anchor distT="0" distB="0" distL="114300" distR="114300" simplePos="0" relativeHeight="251648000" behindDoc="1" locked="0" layoutInCell="1" allowOverlap="1">
            <wp:simplePos x="0" y="0"/>
            <wp:positionH relativeFrom="page">
              <wp:posOffset>4739005</wp:posOffset>
            </wp:positionH>
            <wp:positionV relativeFrom="page">
              <wp:posOffset>6680835</wp:posOffset>
            </wp:positionV>
            <wp:extent cx="1134110" cy="8890"/>
            <wp:effectExtent l="0" t="0" r="0" b="0"/>
            <wp:wrapNone/>
            <wp:docPr id="1" name="图片 1" descr="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age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134110" cy="8890"/>
                    </a:xfrm>
                    <a:prstGeom prst="rect">
                      <a:avLst/>
                    </a:prstGeom>
                    <a:noFill/>
                  </pic:spPr>
                </pic:pic>
              </a:graphicData>
            </a:graphic>
          </wp:anchor>
        </w:drawing>
      </w:r>
      <w:r>
        <w:rPr>
          <w:rFonts w:ascii="KLRFJD+ËÎÌå" w:hAnsi="KLRFJD+ËÎÌå" w:cs="KLRFJD+ËÎÌå"/>
          <w:color w:val="000000" w:themeColor="text1"/>
          <w:spacing w:val="1"/>
          <w:sz w:val="24"/>
          <w:highlight w:val="none"/>
          <w:lang w:val="ru-RU"/>
        </w:rPr>
        <w:t>八、监督部门</w:t>
      </w:r>
    </w:p>
    <w:p>
      <w:pPr>
        <w:widowControl/>
        <w:spacing w:before="176" w:line="221" w:lineRule="exact"/>
        <w:ind w:left="317"/>
        <w:jc w:val="left"/>
        <w:rPr>
          <w:rFonts w:ascii="KLRFJD+ËÎÌå"/>
          <w:color w:val="000000" w:themeColor="text1"/>
          <w:highlight w:val="none"/>
          <w:lang w:val="ru-RU"/>
        </w:rPr>
      </w:pPr>
      <w:r>
        <w:rPr>
          <w:rFonts w:ascii="KLRFJD+ËÎÌå" w:hAnsi="KLRFJD+ËÎÌå" w:cs="KLRFJD+ËÎÌå"/>
          <w:color w:val="000000" w:themeColor="text1"/>
          <w:spacing w:val="-1"/>
          <w:highlight w:val="none"/>
          <w:lang w:val="ru-RU"/>
        </w:rPr>
        <w:t>本招标项目的监督部门为重庆银行股份有限公司内控合规部</w:t>
      </w:r>
      <w:r>
        <w:rPr>
          <w:rFonts w:ascii="KLRFJD+ËÎÌå" w:hAnsi="KLRFJD+ËÎÌå" w:cs="KLRFJD+ËÎÌå"/>
          <w:color w:val="000000" w:themeColor="text1"/>
          <w:highlight w:val="none"/>
          <w:lang w:val="ru-RU"/>
        </w:rPr>
        <w:t>。</w:t>
      </w:r>
    </w:p>
    <w:p>
      <w:pPr>
        <w:widowControl/>
        <w:spacing w:before="152" w:line="250" w:lineRule="exact"/>
        <w:jc w:val="left"/>
        <w:rPr>
          <w:rFonts w:ascii="KLRFJD+ËÎÌå"/>
          <w:color w:val="000000" w:themeColor="text1"/>
          <w:sz w:val="24"/>
          <w:highlight w:val="none"/>
          <w:lang w:val="ru-RU"/>
        </w:rPr>
      </w:pPr>
      <w:r>
        <w:rPr>
          <w:rFonts w:ascii="KLRFJD+ËÎÌå" w:hAnsi="KLRFJD+ËÎÌå" w:cs="KLRFJD+ËÎÌå"/>
          <w:color w:val="000000" w:themeColor="text1"/>
          <w:spacing w:val="1"/>
          <w:sz w:val="24"/>
          <w:highlight w:val="none"/>
          <w:lang w:val="ru-RU"/>
        </w:rPr>
        <w:t>九、联系方式</w:t>
      </w:r>
    </w:p>
    <w:p>
      <w:pPr>
        <w:widowControl/>
        <w:spacing w:before="233" w:line="221" w:lineRule="exact"/>
        <w:ind w:left="317"/>
        <w:jc w:val="left"/>
        <w:rPr>
          <w:rFonts w:ascii="KLRFJD+ËÎÌå"/>
          <w:color w:val="000000" w:themeColor="text1"/>
          <w:highlight w:val="none"/>
          <w:lang w:val="ru-RU"/>
        </w:rPr>
      </w:pPr>
      <w:r>
        <w:rPr>
          <w:rFonts w:ascii="KLRFJD+ËÎÌå" w:hAnsi="KLRFJD+ËÎÌå" w:cs="KLRFJD+ËÎÌå"/>
          <w:color w:val="000000" w:themeColor="text1"/>
          <w:highlight w:val="none"/>
          <w:lang w:val="ru-RU"/>
        </w:rPr>
        <w:t>招标</w:t>
      </w:r>
      <w:r>
        <w:rPr>
          <w:rFonts w:ascii="KLRFJD+ËÎÌå" w:hAnsi="KLRFJD+ËÎÌå" w:cs="KLRFJD+ËÎÌå"/>
          <w:color w:val="000000" w:themeColor="text1"/>
          <w:spacing w:val="-1"/>
          <w:highlight w:val="none"/>
          <w:lang w:val="ru-RU"/>
        </w:rPr>
        <w:t>人：重庆银行股份有限公司</w:t>
      </w:r>
    </w:p>
    <w:p>
      <w:pPr>
        <w:widowControl/>
        <w:spacing w:before="247" w:line="221" w:lineRule="exact"/>
        <w:ind w:left="317"/>
        <w:jc w:val="left"/>
        <w:rPr>
          <w:rFonts w:ascii="KLRFJD+ËÎÌå"/>
          <w:color w:val="000000" w:themeColor="text1"/>
          <w:highlight w:val="none"/>
          <w:lang w:val="ru-RU"/>
        </w:rPr>
      </w:pPr>
      <w:r>
        <w:rPr>
          <w:rFonts w:ascii="KLRFJD+ËÎÌå" w:hAnsi="KLRFJD+ËÎÌå" w:cs="KLRFJD+ËÎÌå"/>
          <w:color w:val="000000" w:themeColor="text1"/>
          <w:highlight w:val="none"/>
          <w:lang w:val="ru-RU"/>
        </w:rPr>
        <w:t>地</w:t>
      </w:r>
      <w:r>
        <w:rPr>
          <w:rFonts w:ascii="KLRFJD+ËÎÌå" w:hAnsi="KLRFJD+ËÎÌå" w:cs="KLRFJD+ËÎÌå"/>
          <w:color w:val="000000" w:themeColor="text1"/>
          <w:spacing w:val="-1"/>
          <w:highlight w:val="none"/>
          <w:lang w:val="ru-RU"/>
        </w:rPr>
        <w:t>址：重庆市江北区江北城街道永平门街</w:t>
      </w:r>
      <w:r>
        <w:rPr>
          <w:rFonts w:ascii="MGKSBI+ËÎÌå"/>
          <w:color w:val="000000" w:themeColor="text1"/>
          <w:spacing w:val="50"/>
          <w:highlight w:val="none"/>
          <w:lang w:val="ru-RU"/>
        </w:rPr>
        <w:t>6</w:t>
      </w:r>
      <w:r>
        <w:rPr>
          <w:rFonts w:ascii="KLRFJD+ËÎÌå" w:hAnsi="KLRFJD+ËÎÌå" w:cs="KLRFJD+ËÎÌå"/>
          <w:color w:val="000000" w:themeColor="text1"/>
          <w:highlight w:val="none"/>
          <w:lang w:val="ru-RU"/>
        </w:rPr>
        <w:t>号</w:t>
      </w:r>
    </w:p>
    <w:p>
      <w:pPr>
        <w:widowControl/>
        <w:spacing w:before="247" w:line="221" w:lineRule="exact"/>
        <w:ind w:left="317"/>
        <w:jc w:val="left"/>
        <w:rPr>
          <w:rFonts w:ascii="KLRFJD+ËÎÌå"/>
          <w:color w:val="000000" w:themeColor="text1"/>
          <w:highlight w:val="none"/>
          <w:lang w:val="ru-RU"/>
        </w:rPr>
      </w:pPr>
      <w:r>
        <w:rPr>
          <w:rFonts w:ascii="KLRFJD+ËÎÌå" w:hAnsi="KLRFJD+ËÎÌå" w:cs="KLRFJD+ËÎÌå"/>
          <w:color w:val="000000" w:themeColor="text1"/>
          <w:highlight w:val="none"/>
          <w:lang w:val="ru-RU"/>
        </w:rPr>
        <w:t>联系</w:t>
      </w:r>
      <w:r>
        <w:rPr>
          <w:rFonts w:ascii="KLRFJD+ËÎÌå" w:hAnsi="KLRFJD+ËÎÌå" w:cs="KLRFJD+ËÎÌå"/>
          <w:color w:val="000000" w:themeColor="text1"/>
          <w:spacing w:val="-1"/>
          <w:highlight w:val="none"/>
          <w:lang w:val="ru-RU"/>
        </w:rPr>
        <w:t>人：</w:t>
      </w:r>
      <w:r>
        <w:rPr>
          <w:rFonts w:hint="eastAsia" w:ascii="KLRFJD+ËÎÌå" w:hAnsi="KLRFJD+ËÎÌå" w:cs="KLRFJD+ËÎÌå"/>
          <w:color w:val="000000" w:themeColor="text1"/>
          <w:spacing w:val="-1"/>
          <w:highlight w:val="none"/>
          <w:lang w:val="ru-RU"/>
        </w:rPr>
        <w:t>朱</w:t>
      </w:r>
      <w:r>
        <w:rPr>
          <w:rFonts w:ascii="KLRFJD+ËÎÌå" w:hAnsi="KLRFJD+ËÎÌå" w:cs="KLRFJD+ËÎÌå"/>
          <w:color w:val="000000" w:themeColor="text1"/>
          <w:spacing w:val="-1"/>
          <w:highlight w:val="none"/>
          <w:lang w:val="ru-RU"/>
        </w:rPr>
        <w:t>老师</w:t>
      </w:r>
    </w:p>
    <w:p>
      <w:pPr>
        <w:widowControl/>
        <w:spacing w:before="247" w:line="221" w:lineRule="exact"/>
        <w:ind w:left="317"/>
        <w:jc w:val="left"/>
        <w:rPr>
          <w:rFonts w:ascii="MGKSBI+ËÎÌå"/>
          <w:color w:val="000000" w:themeColor="text1"/>
          <w:spacing w:val="-1"/>
          <w:highlight w:val="none"/>
        </w:rPr>
      </w:pPr>
      <w:r>
        <w:rPr>
          <w:rFonts w:ascii="KLRFJD+ËÎÌå" w:hAnsi="KLRFJD+ËÎÌå" w:cs="KLRFJD+ËÎÌå"/>
          <w:color w:val="000000" w:themeColor="text1"/>
          <w:highlight w:val="none"/>
          <w:lang w:val="ru-RU"/>
        </w:rPr>
        <w:t>电话：</w:t>
      </w:r>
      <w:r>
        <w:rPr>
          <w:rFonts w:ascii="MGKSBI+ËÎÌå"/>
          <w:color w:val="000000" w:themeColor="text1"/>
          <w:spacing w:val="-1"/>
          <w:highlight w:val="none"/>
          <w:lang w:val="ru-RU"/>
        </w:rPr>
        <w:t>023-</w:t>
      </w:r>
      <w:r>
        <w:rPr>
          <w:rFonts w:hint="eastAsia" w:ascii="MGKSBI+ËÎÌå"/>
          <w:color w:val="000000" w:themeColor="text1"/>
          <w:spacing w:val="-1"/>
          <w:highlight w:val="none"/>
          <w:lang w:val="ru-RU"/>
        </w:rPr>
        <w:t>63367</w:t>
      </w:r>
      <w:r>
        <w:rPr>
          <w:rFonts w:hint="eastAsia" w:ascii="MGKSBI+ËÎÌå"/>
          <w:color w:val="000000" w:themeColor="text1"/>
          <w:spacing w:val="-1"/>
          <w:highlight w:val="none"/>
        </w:rPr>
        <w:t>309</w:t>
      </w:r>
    </w:p>
    <w:p>
      <w:pPr>
        <w:widowControl/>
        <w:spacing w:before="247" w:line="221" w:lineRule="exact"/>
        <w:ind w:left="317"/>
        <w:jc w:val="left"/>
        <w:rPr>
          <w:rFonts w:ascii="MGKSBI+ËÎÌå"/>
          <w:color w:val="000000" w:themeColor="text1"/>
          <w:highlight w:val="none"/>
          <w:lang w:val="ru-RU"/>
        </w:rPr>
      </w:pPr>
      <w:r>
        <w:rPr>
          <w:rFonts w:ascii="KLRFJD+ËÎÌå" w:hAnsi="KLRFJD+ËÎÌå" w:cs="KLRFJD+ËÎÌå"/>
          <w:color w:val="000000" w:themeColor="text1"/>
          <w:spacing w:val="-1"/>
          <w:highlight w:val="none"/>
          <w:lang w:val="ru-RU"/>
        </w:rPr>
        <w:t>电子邮件：</w:t>
      </w:r>
      <w:r>
        <w:rPr>
          <w:rFonts w:ascii="MGKSBI+ËÎÌå"/>
          <w:color w:val="000000" w:themeColor="text1"/>
          <w:highlight w:val="none"/>
          <w:lang w:val="ru-RU"/>
        </w:rPr>
        <w:t>/</w:t>
      </w:r>
    </w:p>
    <w:p>
      <w:pPr>
        <w:widowControl/>
        <w:spacing w:before="715" w:line="221" w:lineRule="exact"/>
        <w:ind w:left="317"/>
        <w:jc w:val="left"/>
        <w:rPr>
          <w:rFonts w:ascii="KLRFJD+ËÎÌå"/>
          <w:color w:val="000000" w:themeColor="text1"/>
          <w:highlight w:val="none"/>
          <w:lang w:val="ru-RU"/>
        </w:rPr>
      </w:pPr>
      <w:r>
        <w:rPr>
          <w:rFonts w:ascii="KLRFJD+ËÎÌå" w:hAnsi="KLRFJD+ËÎÌå" w:cs="KLRFJD+ËÎÌå"/>
          <w:color w:val="000000" w:themeColor="text1"/>
          <w:spacing w:val="-1"/>
          <w:highlight w:val="none"/>
          <w:lang w:val="ru-RU"/>
        </w:rPr>
        <w:t>招标代理机构：重庆招标采购（集团）有限责任公司</w:t>
      </w:r>
    </w:p>
    <w:p>
      <w:pPr>
        <w:widowControl/>
        <w:spacing w:before="247" w:line="221" w:lineRule="exact"/>
        <w:ind w:left="317"/>
        <w:jc w:val="left"/>
        <w:rPr>
          <w:rFonts w:ascii="KLRFJD+ËÎÌå"/>
          <w:color w:val="000000" w:themeColor="text1"/>
          <w:highlight w:val="none"/>
          <w:lang w:val="ru-RU"/>
        </w:rPr>
      </w:pPr>
      <w:r>
        <w:rPr>
          <w:rFonts w:ascii="KLRFJD+ËÎÌå" w:hAnsi="KLRFJD+ËÎÌå" w:cs="KLRFJD+ËÎÌå"/>
          <w:color w:val="000000" w:themeColor="text1"/>
          <w:highlight w:val="none"/>
          <w:lang w:val="ru-RU"/>
        </w:rPr>
        <w:t>地址：</w:t>
      </w:r>
      <w:r>
        <w:rPr>
          <w:rFonts w:ascii="KLRFJD+ËÎÌå" w:hAnsi="KLRFJD+ËÎÌå" w:cs="KLRFJD+ËÎÌå"/>
          <w:color w:val="000000" w:themeColor="text1"/>
          <w:spacing w:val="-1"/>
          <w:highlight w:val="none"/>
          <w:lang w:val="ru-RU"/>
        </w:rPr>
        <w:t>重庆市江北区五简路</w:t>
      </w:r>
      <w:r>
        <w:rPr>
          <w:rFonts w:ascii="MGKSBI+ËÎÌå"/>
          <w:color w:val="000000" w:themeColor="text1"/>
          <w:spacing w:val="53"/>
          <w:highlight w:val="none"/>
          <w:lang w:val="ru-RU"/>
        </w:rPr>
        <w:t>2</w:t>
      </w:r>
      <w:r>
        <w:rPr>
          <w:rFonts w:ascii="KLRFJD+ËÎÌå" w:hAnsi="KLRFJD+ËÎÌå" w:cs="KLRFJD+ËÎÌå"/>
          <w:color w:val="000000" w:themeColor="text1"/>
          <w:spacing w:val="-1"/>
          <w:highlight w:val="none"/>
          <w:lang w:val="ru-RU"/>
        </w:rPr>
        <w:t>号重庆咨询大厦</w:t>
      </w:r>
      <w:r>
        <w:rPr>
          <w:rFonts w:ascii="MGKSBI+ËÎÌå"/>
          <w:color w:val="000000" w:themeColor="text1"/>
          <w:spacing w:val="50"/>
          <w:highlight w:val="none"/>
          <w:lang w:val="ru-RU"/>
        </w:rPr>
        <w:t>A</w:t>
      </w:r>
      <w:r>
        <w:rPr>
          <w:rFonts w:ascii="KLRFJD+ËÎÌå" w:hAnsi="KLRFJD+ËÎÌå" w:cs="KLRFJD+ËÎÌå"/>
          <w:color w:val="000000" w:themeColor="text1"/>
          <w:highlight w:val="none"/>
          <w:lang w:val="ru-RU"/>
        </w:rPr>
        <w:t>栋</w:t>
      </w:r>
      <w:r>
        <w:rPr>
          <w:rFonts w:ascii="MGKSBI+ËÎÌå"/>
          <w:color w:val="000000" w:themeColor="text1"/>
          <w:spacing w:val="12"/>
          <w:highlight w:val="none"/>
          <w:lang w:val="ru-RU"/>
        </w:rPr>
        <w:t>1804</w:t>
      </w:r>
      <w:r>
        <w:rPr>
          <w:rFonts w:ascii="KLRFJD+ËÎÌå" w:hAnsi="KLRFJD+ËÎÌå" w:cs="KLRFJD+ËÎÌå"/>
          <w:color w:val="000000" w:themeColor="text1"/>
          <w:highlight w:val="none"/>
          <w:lang w:val="ru-RU"/>
        </w:rPr>
        <w:t>室</w:t>
      </w:r>
    </w:p>
    <w:p>
      <w:pPr>
        <w:widowControl/>
        <w:spacing w:before="247" w:line="221" w:lineRule="exact"/>
        <w:ind w:left="317"/>
        <w:jc w:val="left"/>
        <w:rPr>
          <w:rFonts w:ascii="KLRFJD+ËÎÌå" w:hAnsi="KLRFJD+ËÎÌå" w:cs="KLRFJD+ËÎÌå"/>
          <w:color w:val="000000" w:themeColor="text1"/>
          <w:highlight w:val="none"/>
          <w:lang w:val="ru-RU"/>
        </w:rPr>
      </w:pPr>
      <w:r>
        <w:rPr>
          <w:rFonts w:ascii="KLRFJD+ËÎÌå" w:hAnsi="KLRFJD+ËÎÌå" w:cs="KLRFJD+ËÎÌå"/>
          <w:color w:val="000000" w:themeColor="text1"/>
          <w:highlight w:val="none"/>
          <w:lang w:val="ru-RU"/>
        </w:rPr>
        <w:t>联系人：</w:t>
      </w:r>
      <w:r>
        <w:rPr>
          <w:rFonts w:ascii="KLRFJD+ËÎÌå" w:hAnsi="KLRFJD+ËÎÌå" w:cs="KLRFJD+ËÎÌå"/>
          <w:color w:val="000000" w:themeColor="text1"/>
          <w:spacing w:val="-1"/>
          <w:highlight w:val="none"/>
          <w:lang w:val="ru-RU"/>
        </w:rPr>
        <w:t>卢號东</w:t>
      </w:r>
      <w:r>
        <w:rPr>
          <w:rFonts w:hint="eastAsia" w:ascii="KLRFJD+ËÎÌå" w:hAnsi="KLRFJD+ËÎÌå" w:cs="KLRFJD+ËÎÌå"/>
          <w:color w:val="000000" w:themeColor="text1"/>
          <w:spacing w:val="-1"/>
          <w:highlight w:val="none"/>
          <w:lang w:val="ru-RU"/>
        </w:rPr>
        <w:t>、杨欣</w:t>
      </w:r>
    </w:p>
    <w:p>
      <w:pPr>
        <w:widowControl/>
        <w:spacing w:before="247" w:line="221" w:lineRule="exact"/>
        <w:ind w:left="317"/>
        <w:jc w:val="left"/>
        <w:rPr>
          <w:rFonts w:ascii="KLRFJD+ËÎÌå" w:hAnsi="KLRFJD+ËÎÌå" w:cs="KLRFJD+ËÎÌå"/>
          <w:color w:val="000000" w:themeColor="text1"/>
          <w:spacing w:val="-1"/>
          <w:highlight w:val="none"/>
          <w:lang w:val="ru-RU"/>
        </w:rPr>
      </w:pPr>
      <w:r>
        <w:rPr>
          <w:rFonts w:ascii="KLRFJD+ËÎÌå" w:hAnsi="KLRFJD+ËÎÌå" w:cs="KLRFJD+ËÎÌå"/>
          <w:color w:val="000000" w:themeColor="text1"/>
          <w:highlight w:val="none"/>
          <w:lang w:val="ru-RU"/>
        </w:rPr>
        <w:t>电话：</w:t>
      </w:r>
      <w:r>
        <w:rPr>
          <w:rFonts w:ascii="MGKSBI+ËÎÌå"/>
          <w:color w:val="000000" w:themeColor="text1"/>
          <w:spacing w:val="-1"/>
          <w:highlight w:val="none"/>
          <w:lang w:val="ru-RU"/>
        </w:rPr>
        <w:t>023-67706443</w:t>
      </w:r>
    </w:p>
    <w:p>
      <w:pPr>
        <w:widowControl/>
        <w:spacing w:before="247" w:line="221" w:lineRule="exact"/>
        <w:ind w:left="317"/>
        <w:jc w:val="left"/>
        <w:rPr>
          <w:rFonts w:ascii="Times New Roman" w:hAnsi="Times New Roman" w:eastAsia="宋体" w:cs="Times New Roman"/>
          <w:color w:val="000000" w:themeColor="text1"/>
          <w:kern w:val="0"/>
          <w:sz w:val="24"/>
          <w:szCs w:val="24"/>
          <w:highlight w:val="none"/>
        </w:rPr>
        <w:sectPr>
          <w:headerReference r:id="rId8" w:type="default"/>
          <w:footerReference r:id="rId9" w:type="default"/>
          <w:pgSz w:w="11906" w:h="16838"/>
          <w:pgMar w:top="1440" w:right="1466" w:bottom="1276" w:left="1800" w:header="851" w:footer="992" w:gutter="0"/>
          <w:pgNumType w:start="1"/>
          <w:cols w:space="720" w:num="1"/>
          <w:docGrid w:type="linesAndChars" w:linePitch="312" w:charSpace="0"/>
        </w:sectPr>
      </w:pPr>
      <w:r>
        <w:rPr>
          <w:rFonts w:ascii="KLRFJD+ËÎÌå" w:hAnsi="KLRFJD+ËÎÌå" w:cs="KLRFJD+ËÎÌå"/>
          <w:color w:val="000000" w:themeColor="text1"/>
          <w:spacing w:val="-1"/>
          <w:highlight w:val="none"/>
          <w:lang w:val="ru-RU"/>
        </w:rPr>
        <w:t>电子邮件：</w:t>
      </w:r>
      <w:r>
        <w:rPr>
          <w:rFonts w:ascii="MGKSBI+ËÎÌå"/>
          <w:color w:val="000000" w:themeColor="text1"/>
          <w:highlight w:val="none"/>
          <w:lang w:val="ru-RU"/>
        </w:rPr>
        <w:t>/</w:t>
      </w:r>
      <w:bookmarkEnd w:id="2"/>
      <w:r>
        <w:rPr>
          <w:rFonts w:ascii="Times New Roman" w:hAnsi="Times New Roman" w:eastAsia="宋体" w:cs="Times New Roman"/>
          <w:color w:val="000000" w:themeColor="text1"/>
          <w:kern w:val="0"/>
          <w:sz w:val="24"/>
          <w:szCs w:val="24"/>
          <w:highlight w:val="none"/>
        </w:rPr>
        <w:tab/>
      </w:r>
      <w:bookmarkEnd w:id="168"/>
      <w:bookmarkEnd w:id="1"/>
    </w:p>
    <w:p>
      <w:pPr>
        <w:adjustRightInd w:val="0"/>
        <w:spacing w:line="400" w:lineRule="exact"/>
        <w:ind w:firstLine="480" w:firstLineChars="200"/>
        <w:rPr>
          <w:rFonts w:ascii="Times New Roman" w:hAnsi="Times New Roman" w:eastAsia="宋体" w:cs="Times New Roman"/>
          <w:color w:val="000000" w:themeColor="text1"/>
          <w:kern w:val="0"/>
          <w:sz w:val="24"/>
          <w:szCs w:val="24"/>
          <w:highlight w:val="none"/>
        </w:rPr>
      </w:pPr>
    </w:p>
    <w:p>
      <w:pPr>
        <w:rPr>
          <w:rFonts w:ascii="Times New Roman" w:hAnsi="Times New Roman" w:eastAsia="宋体" w:cs="Times New Roman"/>
          <w:color w:val="000000" w:themeColor="text1"/>
          <w:highlight w:val="none"/>
        </w:rPr>
      </w:pPr>
    </w:p>
    <w:p>
      <w:pPr>
        <w:keepNext/>
        <w:keepLines/>
        <w:spacing w:line="360" w:lineRule="auto"/>
        <w:ind w:firstLine="2420" w:firstLineChars="550"/>
        <w:outlineLvl w:val="0"/>
        <w:rPr>
          <w:rFonts w:ascii="Calibri" w:hAnsi="Calibri" w:eastAsia="黑体" w:cs="Times New Roman"/>
          <w:b/>
          <w:bCs/>
          <w:color w:val="000000" w:themeColor="text1"/>
          <w:kern w:val="44"/>
          <w:sz w:val="44"/>
          <w:szCs w:val="44"/>
          <w:highlight w:val="none"/>
        </w:rPr>
      </w:pPr>
      <w:bookmarkStart w:id="3" w:name="_Toc489972850"/>
      <w:r>
        <w:rPr>
          <w:rFonts w:ascii="Calibri" w:hAnsi="Calibri" w:eastAsia="黑体" w:cs="Times New Roman"/>
          <w:b/>
          <w:bCs/>
          <w:color w:val="000000" w:themeColor="text1"/>
          <w:kern w:val="44"/>
          <w:sz w:val="44"/>
          <w:szCs w:val="44"/>
          <w:highlight w:val="none"/>
        </w:rPr>
        <w:t>第二章投标人须知</w:t>
      </w:r>
      <w:bookmarkEnd w:id="3"/>
    </w:p>
    <w:p>
      <w:pPr>
        <w:keepNext/>
        <w:keepLines/>
        <w:numPr>
          <w:ilvl w:val="1"/>
          <w:numId w:val="0"/>
        </w:numPr>
        <w:tabs>
          <w:tab w:val="left" w:pos="708"/>
        </w:tabs>
        <w:snapToGrid w:val="0"/>
        <w:spacing w:before="156" w:after="156" w:line="400" w:lineRule="atLeast"/>
        <w:jc w:val="center"/>
        <w:outlineLvl w:val="1"/>
        <w:rPr>
          <w:rFonts w:ascii="Times New Roman" w:hAnsi="Times New Roman" w:eastAsia="宋体" w:cs="Times New Roman"/>
          <w:b/>
          <w:bCs/>
          <w:color w:val="000000" w:themeColor="text1"/>
          <w:kern w:val="0"/>
          <w:sz w:val="30"/>
          <w:szCs w:val="30"/>
          <w:highlight w:val="none"/>
        </w:rPr>
      </w:pPr>
      <w:bookmarkStart w:id="4" w:name="_Toc21528"/>
      <w:r>
        <w:rPr>
          <w:rFonts w:ascii="Times New Roman" w:hAnsi="Times New Roman" w:eastAsia="宋体" w:cs="Times New Roman"/>
          <w:b/>
          <w:bCs/>
          <w:color w:val="000000" w:themeColor="text1"/>
          <w:kern w:val="0"/>
          <w:sz w:val="30"/>
          <w:szCs w:val="30"/>
          <w:highlight w:val="none"/>
        </w:rPr>
        <w:t>第一节投标人须知前附表</w:t>
      </w:r>
      <w:bookmarkEnd w:id="4"/>
    </w:p>
    <w:p>
      <w:pPr>
        <w:spacing w:line="360" w:lineRule="auto"/>
        <w:jc w:val="left"/>
        <w:rPr>
          <w:rFonts w:ascii="Times New Roman" w:hAnsi="Times New Roman" w:eastAsia="宋体" w:cs="Times New Roman"/>
          <w:bCs/>
          <w:color w:val="000000" w:themeColor="text1"/>
          <w:kern w:val="0"/>
          <w:sz w:val="24"/>
          <w:szCs w:val="24"/>
          <w:highlight w:val="none"/>
        </w:rPr>
      </w:pPr>
      <w:r>
        <w:rPr>
          <w:rFonts w:ascii="Times New Roman" w:hAnsi="Times New Roman" w:eastAsia="宋体" w:cs="Times New Roman"/>
          <w:b/>
          <w:bCs/>
          <w:color w:val="000000" w:themeColor="text1"/>
          <w:kern w:val="0"/>
          <w:sz w:val="24"/>
          <w:szCs w:val="24"/>
          <w:highlight w:val="none"/>
        </w:rPr>
        <w:t>投标人须知前附表</w:t>
      </w:r>
      <w:r>
        <w:rPr>
          <w:rFonts w:ascii="Times New Roman" w:hAnsi="Times New Roman" w:eastAsia="宋体" w:cs="Times New Roman"/>
          <w:bCs/>
          <w:color w:val="000000" w:themeColor="text1"/>
          <w:kern w:val="0"/>
          <w:sz w:val="24"/>
          <w:szCs w:val="24"/>
          <w:highlight w:val="none"/>
        </w:rPr>
        <w:t>是对《投标人须知》所对应条款的具体补充和修改，如有不一致，应以本前附表为准。</w:t>
      </w:r>
    </w:p>
    <w:tbl>
      <w:tblPr>
        <w:tblStyle w:val="55"/>
        <w:tblW w:w="9869" w:type="dxa"/>
        <w:tblInd w:w="-4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2"/>
        <w:gridCol w:w="40"/>
        <w:gridCol w:w="8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条款号</w:t>
            </w:r>
          </w:p>
        </w:tc>
        <w:tc>
          <w:tcPr>
            <w:tcW w:w="881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69" w:type="dxa"/>
            <w:gridSpan w:val="3"/>
            <w:vAlign w:val="center"/>
          </w:tcPr>
          <w:p>
            <w:pPr>
              <w:rPr>
                <w:rFonts w:ascii="Times New Roman" w:hAnsi="Times New Roman" w:eastAsia="宋体" w:cs="Times New Roman"/>
                <w:b/>
                <w:color w:val="000000" w:themeColor="text1"/>
                <w:szCs w:val="21"/>
                <w:highlight w:val="none"/>
              </w:rPr>
            </w:pPr>
            <w:r>
              <w:rPr>
                <w:rFonts w:ascii="Times New Roman" w:hAnsi="Times New Roman" w:eastAsia="宋体" w:cs="Times New Roman"/>
                <w:b/>
                <w:color w:val="000000" w:themeColor="text1"/>
                <w:szCs w:val="21"/>
                <w:highlight w:val="none"/>
              </w:rPr>
              <w:t>一、说明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1.1</w:t>
            </w:r>
          </w:p>
        </w:tc>
        <w:tc>
          <w:tcPr>
            <w:tcW w:w="8817" w:type="dxa"/>
            <w:gridSpan w:val="2"/>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招标人：重庆银行股份有限公司</w:t>
            </w:r>
          </w:p>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联系人：</w:t>
            </w:r>
            <w:r>
              <w:rPr>
                <w:rFonts w:hint="eastAsia" w:ascii="Times New Roman" w:hAnsi="Times New Roman" w:eastAsia="宋体" w:cs="Times New Roman"/>
                <w:color w:val="000000" w:themeColor="text1"/>
                <w:szCs w:val="21"/>
                <w:highlight w:val="none"/>
              </w:rPr>
              <w:t>朱</w:t>
            </w:r>
            <w:r>
              <w:rPr>
                <w:rFonts w:ascii="Times New Roman" w:hAnsi="Times New Roman" w:eastAsia="宋体" w:cs="Times New Roman"/>
                <w:color w:val="000000" w:themeColor="text1"/>
                <w:szCs w:val="21"/>
                <w:highlight w:val="none"/>
              </w:rPr>
              <w:t>老师</w:t>
            </w:r>
          </w:p>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联系电话：023-</w:t>
            </w:r>
            <w:r>
              <w:rPr>
                <w:rFonts w:hint="eastAsia" w:ascii="Times New Roman" w:hAnsi="Times New Roman" w:eastAsia="宋体" w:cs="Times New Roman"/>
                <w:color w:val="000000" w:themeColor="text1"/>
                <w:szCs w:val="21"/>
                <w:highlight w:val="none"/>
              </w:rPr>
              <w:t>63367309</w:t>
            </w:r>
          </w:p>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联系地址：</w:t>
            </w:r>
            <w:r>
              <w:rPr>
                <w:rFonts w:hint="eastAsia" w:ascii="Times New Roman" w:hAnsi="Times New Roman" w:eastAsia="宋体" w:cs="Times New Roman"/>
                <w:color w:val="000000" w:themeColor="text1"/>
                <w:szCs w:val="21"/>
                <w:highlight w:val="none"/>
              </w:rPr>
              <w:t>重庆市江北区江北城街道永平门街6号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1.2</w:t>
            </w:r>
          </w:p>
        </w:tc>
        <w:tc>
          <w:tcPr>
            <w:tcW w:w="8817" w:type="dxa"/>
            <w:gridSpan w:val="2"/>
            <w:vAlign w:val="center"/>
          </w:tcPr>
          <w:p>
            <w:pPr>
              <w:tabs>
                <w:tab w:val="left" w:pos="1050"/>
                <w:tab w:val="left" w:pos="1470"/>
              </w:tabs>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招标代理机构：重庆招标采购（集团）有限责任公司</w:t>
            </w:r>
          </w:p>
          <w:p>
            <w:pPr>
              <w:tabs>
                <w:tab w:val="left" w:pos="1050"/>
                <w:tab w:val="left" w:pos="1470"/>
              </w:tabs>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联系人：卢號东、</w:t>
            </w:r>
            <w:r>
              <w:rPr>
                <w:rFonts w:hint="eastAsia" w:ascii="Times New Roman" w:hAnsi="Times New Roman" w:eastAsia="宋体" w:cs="Times New Roman"/>
                <w:color w:val="000000" w:themeColor="text1"/>
                <w:szCs w:val="21"/>
                <w:highlight w:val="none"/>
              </w:rPr>
              <w:t>杨欣</w:t>
            </w:r>
          </w:p>
          <w:p>
            <w:pPr>
              <w:tabs>
                <w:tab w:val="left" w:pos="1050"/>
                <w:tab w:val="left" w:pos="1470"/>
              </w:tabs>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电话：023-67706443传真：（023）67706443</w:t>
            </w:r>
          </w:p>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地址：重庆市江北区五简路2号重庆咨询大厦A栋1804室</w:t>
            </w:r>
            <w:r>
              <w:rPr>
                <w:rFonts w:ascii="Times New Roman" w:hAnsi="Times New Roman" w:eastAsia="宋体" w:cs="Times New Roman"/>
                <w:color w:val="000000" w:themeColor="text1"/>
                <w:szCs w:val="21"/>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1.3</w:t>
            </w:r>
          </w:p>
        </w:tc>
        <w:tc>
          <w:tcPr>
            <w:tcW w:w="8817" w:type="dxa"/>
            <w:gridSpan w:val="2"/>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项目名称：重庆银行借记金融IC卡采购项目</w:t>
            </w:r>
          </w:p>
          <w:p>
            <w:pP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交货/安装地点</w:t>
            </w:r>
            <w:r>
              <w:rPr>
                <w:rFonts w:ascii="Times New Roman" w:hAnsi="Times New Roman" w:eastAsia="宋体" w:cs="Times New Roman"/>
                <w:color w:val="000000" w:themeColor="text1"/>
                <w:szCs w:val="21"/>
                <w:highlight w:val="none"/>
              </w:rPr>
              <w:t>：见本文件第一章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trPr>
        <w:tc>
          <w:tcPr>
            <w:tcW w:w="1052" w:type="dxa"/>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1.4</w:t>
            </w:r>
          </w:p>
        </w:tc>
        <w:tc>
          <w:tcPr>
            <w:tcW w:w="8817" w:type="dxa"/>
            <w:gridSpan w:val="2"/>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资金来源：自筹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rPr>
        <w:tc>
          <w:tcPr>
            <w:tcW w:w="1052" w:type="dxa"/>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1.5</w:t>
            </w:r>
          </w:p>
        </w:tc>
        <w:tc>
          <w:tcPr>
            <w:tcW w:w="8817" w:type="dxa"/>
            <w:gridSpan w:val="2"/>
            <w:vAlign w:val="center"/>
          </w:tcPr>
          <w:p>
            <w:pP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货物规格型号及数量</w:t>
            </w:r>
            <w:r>
              <w:rPr>
                <w:rFonts w:ascii="Times New Roman" w:hAnsi="Times New Roman" w:eastAsia="宋体" w:cs="Times New Roman"/>
                <w:color w:val="000000" w:themeColor="text1"/>
                <w:szCs w:val="21"/>
                <w:highlight w:val="none"/>
              </w:rPr>
              <w:t>：见本文件第一章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052" w:type="dxa"/>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1.6</w:t>
            </w:r>
          </w:p>
        </w:tc>
        <w:tc>
          <w:tcPr>
            <w:tcW w:w="8817" w:type="dxa"/>
            <w:gridSpan w:val="2"/>
            <w:vAlign w:val="center"/>
          </w:tcPr>
          <w:p>
            <w:pP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供货时间</w:t>
            </w:r>
            <w:r>
              <w:rPr>
                <w:rFonts w:ascii="Times New Roman" w:hAnsi="Times New Roman" w:eastAsia="宋体" w:cs="Times New Roman"/>
                <w:color w:val="000000" w:themeColor="text1"/>
                <w:szCs w:val="21"/>
                <w:highlight w:val="none"/>
              </w:rPr>
              <w:t>：见本文件第一章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1052" w:type="dxa"/>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1.7</w:t>
            </w:r>
          </w:p>
        </w:tc>
        <w:tc>
          <w:tcPr>
            <w:tcW w:w="8817" w:type="dxa"/>
            <w:gridSpan w:val="2"/>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付款方式：以提供的借记卡类型和中标单价据实结算，经双方核对制卡量、单价无误后，供应商开具增值税专用发票，按实际采购量每半年结算一次。</w:t>
            </w:r>
          </w:p>
          <w:p>
            <w:pPr>
              <w:rPr>
                <w:rFonts w:ascii="Times New Roman" w:hAnsi="Times New Roman" w:eastAsia="宋体" w:cs="Times New Roman"/>
                <w:color w:val="000000" w:themeColor="text1"/>
                <w:szCs w:val="21"/>
                <w:highlight w:val="none"/>
              </w:rPr>
            </w:pPr>
            <w:r>
              <w:rPr>
                <w:rFonts w:ascii="Times New Roman" w:hAnsi="Times New Roman" w:eastAsia="宋体" w:cs="Times New Roman"/>
                <w:b/>
                <w:color w:val="000000" w:themeColor="text1"/>
                <w:szCs w:val="21"/>
                <w:highlight w:val="none"/>
              </w:rPr>
              <w:t>特别说明，</w:t>
            </w:r>
            <w:r>
              <w:rPr>
                <w:rFonts w:hint="eastAsia" w:ascii="Times New Roman" w:hAnsi="Times New Roman" w:eastAsia="宋体" w:cs="Times New Roman"/>
                <w:b/>
                <w:color w:val="000000" w:themeColor="text1"/>
                <w:szCs w:val="21"/>
                <w:highlight w:val="none"/>
              </w:rPr>
              <w:t>每次付款前供应商须提供相应金额的可全额抵扣的增值税专用发票。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trPr>
        <w:tc>
          <w:tcPr>
            <w:tcW w:w="9869" w:type="dxa"/>
            <w:gridSpan w:val="3"/>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b/>
                <w:color w:val="000000" w:themeColor="text1"/>
                <w:szCs w:val="21"/>
                <w:highlight w:val="none"/>
              </w:rPr>
              <w:t>二、投标人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trPr>
        <w:tc>
          <w:tcPr>
            <w:tcW w:w="1052" w:type="dxa"/>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2.</w:t>
            </w:r>
            <w:r>
              <w:rPr>
                <w:rFonts w:hint="eastAsia" w:ascii="Times New Roman" w:hAnsi="Times New Roman" w:eastAsia="宋体" w:cs="Times New Roman"/>
                <w:color w:val="000000" w:themeColor="text1"/>
                <w:szCs w:val="21"/>
                <w:highlight w:val="none"/>
              </w:rPr>
              <w:t>3</w:t>
            </w:r>
          </w:p>
        </w:tc>
        <w:tc>
          <w:tcPr>
            <w:tcW w:w="8817" w:type="dxa"/>
            <w:gridSpan w:val="2"/>
            <w:vAlign w:val="center"/>
          </w:tcPr>
          <w:p>
            <w:pPr>
              <w:rPr>
                <w:rFonts w:ascii="Times New Roman" w:hAnsi="Times New Roman" w:eastAsia="宋体" w:cs="Times New Roman"/>
                <w:b/>
                <w:color w:val="000000" w:themeColor="text1"/>
                <w:szCs w:val="21"/>
                <w:highlight w:val="none"/>
              </w:rPr>
            </w:pPr>
            <w:r>
              <w:rPr>
                <w:rFonts w:ascii="Times New Roman" w:hAnsi="Times New Roman" w:eastAsia="宋体" w:cs="Times New Roman"/>
                <w:color w:val="000000" w:themeColor="text1"/>
                <w:szCs w:val="21"/>
                <w:highlight w:val="none"/>
              </w:rPr>
              <w:t>1.</w:t>
            </w:r>
            <w:r>
              <w:rPr>
                <w:rFonts w:ascii="Times New Roman" w:hAnsi="Times New Roman" w:eastAsia="宋体" w:cs="Times New Roman"/>
                <w:b/>
                <w:color w:val="000000" w:themeColor="text1"/>
                <w:szCs w:val="21"/>
                <w:highlight w:val="none"/>
              </w:rPr>
              <w:t>本次招标实行资格后审，投标人应满足下列要求：</w:t>
            </w:r>
          </w:p>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见本文件第一章</w:t>
            </w:r>
            <w:r>
              <w:rPr>
                <w:rFonts w:hint="eastAsia" w:ascii="Times New Roman" w:hAnsi="Times New Roman" w:eastAsia="宋体" w:cs="Times New Roman"/>
                <w:color w:val="000000" w:themeColor="text1"/>
                <w:szCs w:val="21"/>
                <w:highlight w:val="none"/>
              </w:rPr>
              <w:t>“三、投标人资格要求”</w:t>
            </w:r>
            <w:r>
              <w:rPr>
                <w:rFonts w:ascii="Times New Roman" w:hAnsi="Times New Roman" w:eastAsia="宋体" w:cs="Times New Roman"/>
                <w:color w:val="000000" w:themeColor="text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trPr>
        <w:tc>
          <w:tcPr>
            <w:tcW w:w="1052" w:type="dxa"/>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2.</w:t>
            </w:r>
            <w:r>
              <w:rPr>
                <w:rFonts w:hint="eastAsia" w:ascii="Times New Roman" w:hAnsi="Times New Roman" w:eastAsia="宋体" w:cs="Times New Roman"/>
                <w:color w:val="000000" w:themeColor="text1"/>
                <w:szCs w:val="21"/>
                <w:highlight w:val="none"/>
              </w:rPr>
              <w:t>4</w:t>
            </w:r>
          </w:p>
        </w:tc>
        <w:tc>
          <w:tcPr>
            <w:tcW w:w="8817" w:type="dxa"/>
            <w:gridSpan w:val="2"/>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是否接受联合体投标：</w:t>
            </w:r>
            <w:r>
              <w:rPr>
                <w:rFonts w:ascii="Times New Roman" w:hAnsi="Times New Roman" w:eastAsia="宋体" w:cs="Times New Roman"/>
                <w:color w:val="000000" w:themeColor="text1"/>
                <w:szCs w:val="21"/>
                <w:highlight w:val="none"/>
                <w:u w:val="singl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0" w:hRule="atLeast"/>
        </w:trPr>
        <w:tc>
          <w:tcPr>
            <w:tcW w:w="9869" w:type="dxa"/>
            <w:gridSpan w:val="3"/>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b/>
                <w:color w:val="000000" w:themeColor="text1"/>
                <w:szCs w:val="21"/>
                <w:highlight w:val="none"/>
              </w:rPr>
              <w:t>三、招标文件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53" w:hRule="atLeast"/>
        </w:trPr>
        <w:tc>
          <w:tcPr>
            <w:tcW w:w="1052" w:type="dxa"/>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5.2</w:t>
            </w:r>
          </w:p>
        </w:tc>
        <w:tc>
          <w:tcPr>
            <w:tcW w:w="8817" w:type="dxa"/>
            <w:gridSpan w:val="2"/>
          </w:tcPr>
          <w:p>
            <w:pPr>
              <w:spacing w:line="400" w:lineRule="exact"/>
              <w:jc w:val="left"/>
              <w:rPr>
                <w:rFonts w:ascii="宋体" w:hAnsi="宋体" w:cs="宋体"/>
                <w:color w:val="000000" w:themeColor="text1"/>
                <w:kern w:val="0"/>
                <w:szCs w:val="21"/>
                <w:highlight w:val="none"/>
              </w:rPr>
            </w:pPr>
            <w:r>
              <w:rPr>
                <w:rFonts w:hint="eastAsia" w:ascii="宋体" w:hAnsi="宋体" w:cs="宋体"/>
                <w:color w:val="000000" w:themeColor="text1"/>
                <w:kern w:val="0"/>
                <w:szCs w:val="21"/>
                <w:highlight w:val="none"/>
              </w:rPr>
              <w:t>投标人在获取招标文件后，若对本招标文件有疑问，请将疑问以以下</w:t>
            </w:r>
            <w:r>
              <w:rPr>
                <w:rFonts w:hint="eastAsia" w:cs="宋体" w:asciiTheme="minorEastAsia" w:hAnsiTheme="minorEastAsia"/>
                <w:color w:val="000000" w:themeColor="text1"/>
                <w:kern w:val="0"/>
                <w:szCs w:val="21"/>
                <w:highlight w:val="none"/>
              </w:rPr>
              <w:t>①或②</w:t>
            </w:r>
            <w:r>
              <w:rPr>
                <w:rFonts w:hint="eastAsia" w:ascii="宋体" w:hAnsi="宋体" w:cs="宋体"/>
                <w:color w:val="000000" w:themeColor="text1"/>
                <w:kern w:val="0"/>
                <w:szCs w:val="21"/>
                <w:highlight w:val="none"/>
              </w:rPr>
              <w:t>方式提交</w:t>
            </w:r>
            <w:r>
              <w:rPr>
                <w:rFonts w:hint="eastAsia" w:ascii="Arial" w:hAnsi="Arial" w:cs="Arial"/>
                <w:color w:val="000000" w:themeColor="text1"/>
                <w:highlight w:val="none"/>
              </w:rPr>
              <w:t>，</w:t>
            </w:r>
            <w:r>
              <w:rPr>
                <w:rFonts w:hint="eastAsia" w:ascii="宋体" w:hAnsi="宋体" w:cs="宋体"/>
                <w:color w:val="000000" w:themeColor="text1"/>
                <w:kern w:val="0"/>
                <w:szCs w:val="21"/>
                <w:highlight w:val="none"/>
              </w:rPr>
              <w:t>提问截止时间</w:t>
            </w:r>
            <w:r>
              <w:rPr>
                <w:rFonts w:ascii="宋体" w:hAnsi="宋体"/>
                <w:color w:val="000000" w:themeColor="text1"/>
                <w:szCs w:val="21"/>
                <w:highlight w:val="none"/>
              </w:rPr>
              <w:t>2019</w:t>
            </w:r>
            <w:r>
              <w:rPr>
                <w:rFonts w:hint="eastAsia" w:ascii="宋体" w:hAnsi="宋体"/>
                <w:color w:val="000000" w:themeColor="text1"/>
                <w:szCs w:val="21"/>
                <w:highlight w:val="none"/>
              </w:rPr>
              <w:t>年</w:t>
            </w:r>
            <w:r>
              <w:rPr>
                <w:rFonts w:hint="eastAsia" w:ascii="宋体" w:hAnsi="宋体"/>
                <w:color w:val="000000" w:themeColor="text1"/>
                <w:szCs w:val="21"/>
                <w:highlight w:val="none"/>
                <w:lang w:val="en-US" w:eastAsia="zh-CN"/>
              </w:rPr>
              <w:t>10</w:t>
            </w:r>
            <w:r>
              <w:rPr>
                <w:rFonts w:hint="eastAsia" w:ascii="宋体" w:hAnsi="宋体"/>
                <w:color w:val="000000" w:themeColor="text1"/>
                <w:szCs w:val="21"/>
                <w:highlight w:val="none"/>
              </w:rPr>
              <w:t xml:space="preserve"> 月</w:t>
            </w:r>
            <w:r>
              <w:rPr>
                <w:rFonts w:hint="eastAsia" w:ascii="宋体" w:hAnsi="宋体"/>
                <w:color w:val="000000" w:themeColor="text1"/>
                <w:szCs w:val="21"/>
                <w:highlight w:val="none"/>
                <w:lang w:val="en-US" w:eastAsia="zh-CN"/>
              </w:rPr>
              <w:t>28</w:t>
            </w:r>
            <w:r>
              <w:rPr>
                <w:rFonts w:hint="eastAsia" w:ascii="宋体" w:hAnsi="宋体"/>
                <w:color w:val="000000" w:themeColor="text1"/>
                <w:szCs w:val="21"/>
                <w:highlight w:val="none"/>
              </w:rPr>
              <w:t xml:space="preserve">  日 09 时</w:t>
            </w:r>
            <w:r>
              <w:rPr>
                <w:rFonts w:ascii="宋体"/>
                <w:color w:val="000000" w:themeColor="text1"/>
                <w:szCs w:val="21"/>
                <w:highlight w:val="none"/>
              </w:rPr>
              <w:t>00</w:t>
            </w:r>
            <w:r>
              <w:rPr>
                <w:rFonts w:hint="eastAsia" w:ascii="宋体" w:hAnsi="宋体"/>
                <w:color w:val="000000" w:themeColor="text1"/>
                <w:szCs w:val="21"/>
                <w:highlight w:val="none"/>
              </w:rPr>
              <w:t>分</w:t>
            </w:r>
            <w:r>
              <w:rPr>
                <w:rFonts w:hint="eastAsia" w:ascii="宋体" w:hAnsi="宋体" w:cs="宋体"/>
                <w:color w:val="000000" w:themeColor="text1"/>
                <w:kern w:val="0"/>
                <w:szCs w:val="21"/>
                <w:highlight w:val="none"/>
              </w:rPr>
              <w:t>：</w:t>
            </w:r>
          </w:p>
          <w:p>
            <w:pPr>
              <w:spacing w:line="400" w:lineRule="exact"/>
              <w:jc w:val="left"/>
              <w:rPr>
                <w:rFonts w:ascii="宋体" w:hAnsi="宋体" w:cs="宋体"/>
                <w:color w:val="000000" w:themeColor="text1"/>
                <w:kern w:val="0"/>
                <w:szCs w:val="21"/>
                <w:highlight w:val="none"/>
              </w:rPr>
            </w:pPr>
            <w:r>
              <w:rPr>
                <w:rFonts w:hint="eastAsia" w:cs="宋体" w:asciiTheme="minorEastAsia" w:hAnsiTheme="minorEastAsia"/>
                <w:color w:val="000000" w:themeColor="text1"/>
                <w:kern w:val="0"/>
                <w:szCs w:val="21"/>
                <w:highlight w:val="none"/>
              </w:rPr>
              <w:t>①将纸质版疑问文件（须加盖投标单位公章）</w:t>
            </w:r>
            <w:r>
              <w:rPr>
                <w:rFonts w:hint="eastAsia" w:ascii="宋体" w:hAnsi="宋体" w:cs="宋体"/>
                <w:color w:val="000000" w:themeColor="text1"/>
                <w:kern w:val="0"/>
                <w:szCs w:val="21"/>
                <w:highlight w:val="none"/>
              </w:rPr>
              <w:t>递交至招标代理机构</w:t>
            </w:r>
            <w:r>
              <w:rPr>
                <w:rFonts w:hint="eastAsia" w:ascii="宋体" w:hAnsi="宋体"/>
                <w:color w:val="000000" w:themeColor="text1"/>
                <w:szCs w:val="21"/>
                <w:highlight w:val="none"/>
              </w:rPr>
              <w:t>（疑问提交时间以招标代理机构收到的时间为准）</w:t>
            </w:r>
            <w:r>
              <w:rPr>
                <w:rFonts w:hint="eastAsia" w:ascii="宋体" w:hAnsi="宋体" w:cs="宋体"/>
                <w:color w:val="000000" w:themeColor="text1"/>
                <w:kern w:val="0"/>
                <w:szCs w:val="21"/>
                <w:highlight w:val="none"/>
              </w:rPr>
              <w:t>；</w:t>
            </w:r>
          </w:p>
          <w:p>
            <w:pPr>
              <w:spacing w:line="400" w:lineRule="exact"/>
              <w:jc w:val="left"/>
              <w:rPr>
                <w:rFonts w:ascii="宋体" w:hAnsi="宋体"/>
                <w:color w:val="000000" w:themeColor="text1"/>
                <w:szCs w:val="21"/>
                <w:highlight w:val="none"/>
              </w:rPr>
            </w:pPr>
            <w:r>
              <w:rPr>
                <w:rFonts w:hint="eastAsia" w:cs="宋体" w:asciiTheme="minorEastAsia" w:hAnsiTheme="minorEastAsia"/>
                <w:color w:val="000000" w:themeColor="text1"/>
                <w:kern w:val="0"/>
                <w:szCs w:val="21"/>
                <w:highlight w:val="none"/>
              </w:rPr>
              <w:t>②</w:t>
            </w:r>
            <w:r>
              <w:rPr>
                <w:rFonts w:hint="eastAsia" w:ascii="宋体" w:hAnsi="宋体" w:cs="宋体"/>
                <w:color w:val="000000" w:themeColor="text1"/>
                <w:kern w:val="0"/>
                <w:szCs w:val="21"/>
                <w:highlight w:val="none"/>
              </w:rPr>
              <w:t>将</w:t>
            </w:r>
            <w:r>
              <w:rPr>
                <w:rFonts w:hint="eastAsia" w:cs="宋体" w:asciiTheme="minorEastAsia" w:hAnsiTheme="minorEastAsia"/>
                <w:color w:val="000000" w:themeColor="text1"/>
                <w:kern w:val="0"/>
                <w:szCs w:val="21"/>
                <w:highlight w:val="none"/>
              </w:rPr>
              <w:t>疑问文件</w:t>
            </w:r>
            <w:r>
              <w:rPr>
                <w:rFonts w:hint="eastAsia" w:ascii="宋体" w:hAnsi="宋体" w:cs="宋体"/>
                <w:color w:val="000000" w:themeColor="text1"/>
                <w:kern w:val="0"/>
                <w:szCs w:val="21"/>
                <w:highlight w:val="none"/>
              </w:rPr>
              <w:t>（须加盖投标单位公章）的扫描件和疑问文件（word版）以邮件形式发送至招标代理机构指定邮箱</w:t>
            </w:r>
            <w:r>
              <w:rPr>
                <w:rFonts w:hint="eastAsia" w:ascii="Arial" w:hAnsi="Arial" w:cs="Arial"/>
                <w:b/>
                <w:color w:val="000000" w:themeColor="text1"/>
                <w:sz w:val="20"/>
                <w:highlight w:val="none"/>
                <w:u w:val="single"/>
              </w:rPr>
              <w:t>1345407916@qq.com</w:t>
            </w:r>
            <w:r>
              <w:rPr>
                <w:rFonts w:hint="eastAsia" w:ascii="宋体" w:hAnsi="宋体"/>
                <w:color w:val="000000" w:themeColor="text1"/>
                <w:szCs w:val="21"/>
                <w:highlight w:val="none"/>
              </w:rPr>
              <w:t>（疑问提交时间以招标代理机构收到邮件的时间为准）。同时，投标人须在发送疑问文件邮件之日起，在7个工作日内，将纸质版</w:t>
            </w:r>
            <w:r>
              <w:rPr>
                <w:rFonts w:hint="eastAsia" w:ascii="宋体" w:hAnsi="宋体" w:cs="宋体"/>
                <w:color w:val="000000" w:themeColor="text1"/>
                <w:kern w:val="0"/>
                <w:szCs w:val="21"/>
                <w:highlight w:val="none"/>
              </w:rPr>
              <w:t>疑问文件（须</w:t>
            </w:r>
            <w:r>
              <w:rPr>
                <w:rFonts w:hint="eastAsia" w:ascii="宋体" w:hAnsi="宋体"/>
                <w:color w:val="000000" w:themeColor="text1"/>
                <w:szCs w:val="21"/>
                <w:highlight w:val="none"/>
              </w:rPr>
              <w:t>加盖投标单位公章</w:t>
            </w:r>
            <w:r>
              <w:rPr>
                <w:rFonts w:hint="eastAsia" w:ascii="宋体" w:hAnsi="宋体" w:cs="宋体"/>
                <w:color w:val="000000" w:themeColor="text1"/>
                <w:kern w:val="0"/>
                <w:szCs w:val="21"/>
                <w:highlight w:val="none"/>
              </w:rPr>
              <w:t>）送至或寄至招标代理机构，地址详见本文件第一章《招标公告》“九、联系方式”。</w:t>
            </w:r>
          </w:p>
          <w:p>
            <w:pPr>
              <w:spacing w:line="400" w:lineRule="exact"/>
              <w:jc w:val="left"/>
              <w:rPr>
                <w:rFonts w:ascii="宋体" w:hAnsi="宋体"/>
                <w:color w:val="000000" w:themeColor="text1"/>
                <w:szCs w:val="21"/>
                <w:highlight w:val="none"/>
              </w:rPr>
            </w:pPr>
            <w:r>
              <w:rPr>
                <w:rFonts w:hint="eastAsia" w:ascii="宋体" w:hAnsi="宋体"/>
                <w:color w:val="000000" w:themeColor="text1"/>
                <w:szCs w:val="21"/>
                <w:highlight w:val="none"/>
              </w:rPr>
              <w:t>注：1）疑问内容以加盖投标单位公章的为准。</w:t>
            </w:r>
          </w:p>
          <w:p>
            <w:pPr>
              <w:rPr>
                <w:rFonts w:ascii="Times New Roman" w:hAnsi="Times New Roman" w:eastAsia="宋体" w:cs="Times New Roman"/>
                <w:color w:val="000000" w:themeColor="text1"/>
                <w:szCs w:val="21"/>
                <w:highlight w:val="none"/>
              </w:rPr>
            </w:pPr>
            <w:r>
              <w:rPr>
                <w:rFonts w:hint="eastAsia" w:ascii="宋体" w:hAnsi="宋体"/>
                <w:color w:val="000000" w:themeColor="text1"/>
                <w:szCs w:val="21"/>
                <w:highlight w:val="none"/>
              </w:rPr>
              <w:t>2）若投标人在提问截止时间前未按以上</w:t>
            </w:r>
            <w:r>
              <w:rPr>
                <w:rFonts w:hint="eastAsia" w:cs="宋体" w:asciiTheme="minorEastAsia" w:hAnsiTheme="minorEastAsia"/>
                <w:color w:val="000000" w:themeColor="text1"/>
                <w:kern w:val="0"/>
                <w:szCs w:val="21"/>
                <w:highlight w:val="none"/>
              </w:rPr>
              <w:t>①或②</w:t>
            </w:r>
            <w:r>
              <w:rPr>
                <w:rFonts w:hint="eastAsia" w:ascii="宋体" w:hAnsi="宋体" w:cs="宋体"/>
                <w:color w:val="000000" w:themeColor="text1"/>
                <w:kern w:val="0"/>
                <w:szCs w:val="21"/>
                <w:highlight w:val="none"/>
              </w:rPr>
              <w:t>方式提交疑问文件，</w:t>
            </w:r>
            <w:r>
              <w:rPr>
                <w:rFonts w:hint="eastAsia" w:ascii="宋体" w:hAnsi="宋体"/>
                <w:color w:val="000000" w:themeColor="text1"/>
                <w:szCs w:val="21"/>
                <w:highlight w:val="none"/>
              </w:rPr>
              <w:t>招标人及招标代理机构有权不予受理该投标人疑问文件。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62" w:hRule="atLeast"/>
        </w:trPr>
        <w:tc>
          <w:tcPr>
            <w:tcW w:w="1052" w:type="dxa"/>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5.4</w:t>
            </w:r>
          </w:p>
        </w:tc>
        <w:tc>
          <w:tcPr>
            <w:tcW w:w="8817" w:type="dxa"/>
            <w:gridSpan w:val="2"/>
          </w:tcPr>
          <w:p>
            <w:pPr>
              <w:spacing w:line="400" w:lineRule="exact"/>
              <w:rPr>
                <w:rFonts w:cs="Times New Roman" w:asciiTheme="minorEastAsia" w:hAnsiTheme="minorEastAsia"/>
                <w:color w:val="000000" w:themeColor="text1"/>
                <w:szCs w:val="21"/>
                <w:highlight w:val="none"/>
              </w:rPr>
            </w:pPr>
            <w:r>
              <w:rPr>
                <w:rFonts w:hint="eastAsia" w:cs="Times New Roman" w:asciiTheme="minorEastAsia" w:hAnsiTheme="minorEastAsia"/>
                <w:color w:val="000000" w:themeColor="text1"/>
                <w:szCs w:val="21"/>
                <w:highlight w:val="none"/>
              </w:rPr>
              <w:t xml:space="preserve">1. 招标人在认为有必要对投标人所提问题进行澄清或修改时，应于2019年 </w:t>
            </w:r>
            <w:r>
              <w:rPr>
                <w:rFonts w:hint="eastAsia" w:cs="Times New Roman" w:asciiTheme="minorEastAsia" w:hAnsiTheme="minorEastAsia"/>
                <w:color w:val="000000" w:themeColor="text1"/>
                <w:szCs w:val="21"/>
                <w:highlight w:val="none"/>
                <w:lang w:val="en-US" w:eastAsia="zh-CN"/>
              </w:rPr>
              <w:t>10</w:t>
            </w:r>
            <w:r>
              <w:rPr>
                <w:rFonts w:hint="eastAsia" w:cs="Times New Roman" w:asciiTheme="minorEastAsia" w:hAnsiTheme="minorEastAsia"/>
                <w:color w:val="000000" w:themeColor="text1"/>
                <w:szCs w:val="21"/>
                <w:highlight w:val="none"/>
              </w:rPr>
              <w:t xml:space="preserve">  月 </w:t>
            </w:r>
            <w:r>
              <w:rPr>
                <w:rFonts w:hint="eastAsia" w:cs="Times New Roman" w:asciiTheme="minorEastAsia" w:hAnsiTheme="minorEastAsia"/>
                <w:color w:val="000000" w:themeColor="text1"/>
                <w:szCs w:val="21"/>
                <w:highlight w:val="none"/>
                <w:lang w:val="en-US" w:eastAsia="zh-CN"/>
              </w:rPr>
              <w:t>30</w:t>
            </w:r>
            <w:r>
              <w:rPr>
                <w:rFonts w:hint="eastAsia" w:cs="Times New Roman" w:asciiTheme="minorEastAsia" w:hAnsiTheme="minorEastAsia"/>
                <w:color w:val="000000" w:themeColor="text1"/>
                <w:szCs w:val="21"/>
                <w:highlight w:val="none"/>
              </w:rPr>
              <w:t xml:space="preserve">  日 18时00分前，将澄清或者修改内容</w:t>
            </w:r>
            <w:r>
              <w:rPr>
                <w:rFonts w:cs="Times New Roman" w:asciiTheme="minorEastAsia" w:hAnsiTheme="minorEastAsia"/>
                <w:color w:val="000000" w:themeColor="text1"/>
                <w:szCs w:val="21"/>
                <w:highlight w:val="none"/>
              </w:rPr>
              <w:t>在</w:t>
            </w:r>
            <w:r>
              <w:rPr>
                <w:rFonts w:hint="eastAsia" w:cs="Times New Roman" w:asciiTheme="minorEastAsia" w:hAnsiTheme="minorEastAsia"/>
                <w:color w:val="000000" w:themeColor="text1"/>
                <w:szCs w:val="21"/>
                <w:highlight w:val="none"/>
                <w:u w:val="single"/>
              </w:rPr>
              <w:t xml:space="preserve"> （www.cqiic.com）</w:t>
            </w:r>
            <w:r>
              <w:rPr>
                <w:rFonts w:cs="Times New Roman" w:asciiTheme="minorEastAsia" w:hAnsiTheme="minorEastAsia"/>
                <w:color w:val="000000" w:themeColor="text1"/>
                <w:szCs w:val="21"/>
                <w:highlight w:val="none"/>
              </w:rPr>
              <w:t>发出</w:t>
            </w:r>
            <w:r>
              <w:rPr>
                <w:rFonts w:hint="eastAsia" w:ascii="Times New Roman" w:hAnsi="Times New Roman"/>
                <w:color w:val="000000" w:themeColor="text1"/>
                <w:szCs w:val="21"/>
                <w:highlight w:val="none"/>
              </w:rPr>
              <w:t>，并将澄清或者修改内容作为招标文件的补充部分。</w:t>
            </w:r>
          </w:p>
          <w:p>
            <w:pPr>
              <w:rPr>
                <w:rFonts w:ascii="Times New Roman" w:hAnsi="Times New Roman" w:eastAsia="宋体" w:cs="Times New Roman"/>
                <w:color w:val="000000" w:themeColor="text1"/>
                <w:szCs w:val="21"/>
                <w:highlight w:val="none"/>
              </w:rPr>
            </w:pPr>
            <w:r>
              <w:rPr>
                <w:rFonts w:hint="eastAsia" w:cs="Times New Roman" w:asciiTheme="minorEastAsia" w:hAnsiTheme="minorEastAsia"/>
                <w:color w:val="000000" w:themeColor="text1"/>
                <w:szCs w:val="21"/>
                <w:highlight w:val="none"/>
              </w:rPr>
              <w:t>2.</w:t>
            </w:r>
            <w:r>
              <w:rPr>
                <w:rFonts w:ascii="Times New Roman" w:hAnsi="Times New Roman"/>
                <w:color w:val="000000" w:themeColor="text1"/>
                <w:szCs w:val="21"/>
                <w:highlight w:val="none"/>
              </w:rPr>
              <w:t>无论投标人是否</w:t>
            </w:r>
            <w:r>
              <w:rPr>
                <w:rFonts w:hint="eastAsia" w:ascii="Times New Roman" w:hAnsi="Times New Roman"/>
                <w:color w:val="000000" w:themeColor="text1"/>
                <w:szCs w:val="21"/>
                <w:highlight w:val="none"/>
              </w:rPr>
              <w:t>在</w:t>
            </w:r>
            <w:r>
              <w:rPr>
                <w:rFonts w:hint="eastAsia" w:cs="Times New Roman" w:asciiTheme="minorEastAsia" w:hAnsiTheme="minorEastAsia"/>
                <w:color w:val="000000" w:themeColor="text1"/>
                <w:szCs w:val="21"/>
                <w:highlight w:val="none"/>
                <w:u w:val="single"/>
              </w:rPr>
              <w:t xml:space="preserve"> （www.cqiic.com）</w:t>
            </w:r>
            <w:r>
              <w:rPr>
                <w:rFonts w:hint="eastAsia" w:cs="Times New Roman" w:asciiTheme="minorEastAsia" w:hAnsiTheme="minorEastAsia"/>
                <w:color w:val="000000" w:themeColor="text1"/>
                <w:szCs w:val="21"/>
                <w:highlight w:val="none"/>
              </w:rPr>
              <w:t>网上下载招标文件或澄清或修改内容，</w:t>
            </w:r>
            <w:r>
              <w:rPr>
                <w:rFonts w:ascii="Times New Roman" w:hAnsi="Times New Roman"/>
                <w:color w:val="000000" w:themeColor="text1"/>
                <w:szCs w:val="21"/>
                <w:highlight w:val="none"/>
              </w:rPr>
              <w:t>招标人和招标机构均视为投标人已知晓招标文件全部澄清或修改内容，由此产生的一切后果均由投标人自己负责</w:t>
            </w:r>
            <w:r>
              <w:rPr>
                <w:rFonts w:cs="Times New Roman" w:asciiTheme="minorEastAsia" w:hAnsiTheme="minorEastAsia"/>
                <w:color w:val="000000" w:themeColor="text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8" w:hRule="atLeast"/>
        </w:trPr>
        <w:tc>
          <w:tcPr>
            <w:tcW w:w="1052" w:type="dxa"/>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6.1</w:t>
            </w:r>
          </w:p>
        </w:tc>
        <w:tc>
          <w:tcPr>
            <w:tcW w:w="8817" w:type="dxa"/>
            <w:gridSpan w:val="2"/>
          </w:tcPr>
          <w:p>
            <w:pPr>
              <w:spacing w:line="400" w:lineRule="exact"/>
              <w:rPr>
                <w:rFonts w:cs="Times New Roman" w:asciiTheme="minorEastAsia" w:hAnsiTheme="minorEastAsia"/>
                <w:color w:val="000000" w:themeColor="text1"/>
                <w:szCs w:val="21"/>
                <w:highlight w:val="none"/>
              </w:rPr>
            </w:pPr>
            <w:r>
              <w:rPr>
                <w:rFonts w:cs="Times New Roman" w:asciiTheme="minorEastAsia" w:hAnsiTheme="minorEastAsia"/>
                <w:color w:val="000000" w:themeColor="text1"/>
                <w:szCs w:val="21"/>
                <w:highlight w:val="none"/>
              </w:rPr>
              <w:t>1、招标人认为有必要，可以对已发出的招标文件主动进行澄清或者修改，应于</w:t>
            </w:r>
            <w:r>
              <w:rPr>
                <w:rFonts w:cs="Times New Roman" w:asciiTheme="minorEastAsia" w:hAnsiTheme="minorEastAsia"/>
                <w:color w:val="000000" w:themeColor="text1"/>
                <w:szCs w:val="21"/>
                <w:highlight w:val="none"/>
                <w:u w:val="single"/>
              </w:rPr>
              <w:t>201</w:t>
            </w:r>
            <w:r>
              <w:rPr>
                <w:rFonts w:hint="eastAsia" w:cs="Times New Roman" w:asciiTheme="minorEastAsia" w:hAnsiTheme="minorEastAsia"/>
                <w:color w:val="000000" w:themeColor="text1"/>
                <w:szCs w:val="21"/>
                <w:highlight w:val="none"/>
                <w:u w:val="single"/>
              </w:rPr>
              <w:t>9</w:t>
            </w:r>
            <w:r>
              <w:rPr>
                <w:rFonts w:cs="Times New Roman" w:asciiTheme="minorEastAsia" w:hAnsiTheme="minorEastAsia"/>
                <w:color w:val="000000" w:themeColor="text1"/>
                <w:szCs w:val="21"/>
                <w:highlight w:val="none"/>
                <w:u w:val="single"/>
              </w:rPr>
              <w:t>年</w:t>
            </w:r>
            <w:r>
              <w:rPr>
                <w:rFonts w:hint="eastAsia" w:cs="Times New Roman" w:asciiTheme="minorEastAsia" w:hAnsiTheme="minorEastAsia"/>
                <w:color w:val="000000" w:themeColor="text1"/>
                <w:szCs w:val="21"/>
                <w:highlight w:val="none"/>
                <w:u w:val="single"/>
              </w:rPr>
              <w:t xml:space="preserve"> </w:t>
            </w:r>
            <w:r>
              <w:rPr>
                <w:rFonts w:hint="eastAsia" w:cs="Times New Roman" w:asciiTheme="minorEastAsia" w:hAnsiTheme="minorEastAsia"/>
                <w:color w:val="000000" w:themeColor="text1"/>
                <w:szCs w:val="21"/>
                <w:highlight w:val="none"/>
                <w:u w:val="single"/>
                <w:lang w:val="en-US" w:eastAsia="zh-CN"/>
              </w:rPr>
              <w:t>10</w:t>
            </w:r>
            <w:r>
              <w:rPr>
                <w:rFonts w:hint="eastAsia" w:cs="Times New Roman" w:asciiTheme="minorEastAsia" w:hAnsiTheme="minorEastAsia"/>
                <w:color w:val="000000" w:themeColor="text1"/>
                <w:szCs w:val="21"/>
                <w:highlight w:val="none"/>
                <w:u w:val="single"/>
              </w:rPr>
              <w:t xml:space="preserve"> </w:t>
            </w:r>
            <w:r>
              <w:rPr>
                <w:rFonts w:cs="Times New Roman" w:asciiTheme="minorEastAsia" w:hAnsiTheme="minorEastAsia"/>
                <w:color w:val="000000" w:themeColor="text1"/>
                <w:szCs w:val="21"/>
                <w:highlight w:val="none"/>
                <w:u w:val="single"/>
              </w:rPr>
              <w:t>月</w:t>
            </w:r>
            <w:r>
              <w:rPr>
                <w:rFonts w:hint="eastAsia" w:cs="Times New Roman" w:asciiTheme="minorEastAsia" w:hAnsiTheme="minorEastAsia"/>
                <w:color w:val="000000" w:themeColor="text1"/>
                <w:szCs w:val="21"/>
                <w:highlight w:val="none"/>
                <w:u w:val="single"/>
              </w:rPr>
              <w:t xml:space="preserve">  </w:t>
            </w:r>
            <w:r>
              <w:rPr>
                <w:rFonts w:hint="eastAsia" w:cs="Times New Roman" w:asciiTheme="minorEastAsia" w:hAnsiTheme="minorEastAsia"/>
                <w:color w:val="000000" w:themeColor="text1"/>
                <w:szCs w:val="21"/>
                <w:highlight w:val="none"/>
                <w:u w:val="single"/>
                <w:lang w:val="en-US" w:eastAsia="zh-CN"/>
              </w:rPr>
              <w:t>30</w:t>
            </w:r>
            <w:r>
              <w:rPr>
                <w:rFonts w:cs="Times New Roman" w:asciiTheme="minorEastAsia" w:hAnsiTheme="minorEastAsia"/>
                <w:color w:val="000000" w:themeColor="text1"/>
                <w:szCs w:val="21"/>
                <w:highlight w:val="none"/>
                <w:u w:val="single"/>
              </w:rPr>
              <w:t>日</w:t>
            </w:r>
            <w:r>
              <w:rPr>
                <w:rFonts w:hint="eastAsia" w:cs="Times New Roman" w:asciiTheme="minorEastAsia" w:hAnsiTheme="minorEastAsia"/>
                <w:color w:val="000000" w:themeColor="text1"/>
                <w:szCs w:val="21"/>
                <w:highlight w:val="none"/>
                <w:u w:val="single"/>
              </w:rPr>
              <w:t>18</w:t>
            </w:r>
            <w:r>
              <w:rPr>
                <w:rFonts w:cs="Times New Roman" w:asciiTheme="minorEastAsia" w:hAnsiTheme="minorEastAsia"/>
                <w:color w:val="000000" w:themeColor="text1"/>
                <w:szCs w:val="21"/>
                <w:highlight w:val="none"/>
                <w:u w:val="single"/>
              </w:rPr>
              <w:t>时</w:t>
            </w:r>
            <w:r>
              <w:rPr>
                <w:rFonts w:hint="eastAsia" w:cs="Times New Roman" w:asciiTheme="minorEastAsia" w:hAnsiTheme="minorEastAsia"/>
                <w:color w:val="000000" w:themeColor="text1"/>
                <w:szCs w:val="21"/>
                <w:highlight w:val="none"/>
                <w:u w:val="single"/>
              </w:rPr>
              <w:t>00</w:t>
            </w:r>
            <w:r>
              <w:rPr>
                <w:rFonts w:cs="Times New Roman" w:asciiTheme="minorEastAsia" w:hAnsiTheme="minorEastAsia"/>
                <w:color w:val="000000" w:themeColor="text1"/>
                <w:szCs w:val="21"/>
                <w:highlight w:val="none"/>
                <w:u w:val="single"/>
              </w:rPr>
              <w:t>分</w:t>
            </w:r>
            <w:r>
              <w:rPr>
                <w:rFonts w:cs="Times New Roman" w:asciiTheme="minorEastAsia" w:hAnsiTheme="minorEastAsia"/>
                <w:color w:val="000000" w:themeColor="text1"/>
                <w:szCs w:val="21"/>
                <w:highlight w:val="none"/>
              </w:rPr>
              <w:t>前，</w:t>
            </w:r>
            <w:r>
              <w:rPr>
                <w:rFonts w:hint="eastAsia" w:cs="Times New Roman" w:asciiTheme="minorEastAsia" w:hAnsiTheme="minorEastAsia"/>
                <w:color w:val="000000" w:themeColor="text1"/>
                <w:szCs w:val="21"/>
                <w:highlight w:val="none"/>
              </w:rPr>
              <w:t>将澄清或者修改内容在</w:t>
            </w:r>
            <w:r>
              <w:rPr>
                <w:rFonts w:hint="eastAsia" w:cs="Times New Roman" w:asciiTheme="minorEastAsia" w:hAnsiTheme="minorEastAsia"/>
                <w:color w:val="000000" w:themeColor="text1"/>
                <w:szCs w:val="21"/>
                <w:highlight w:val="none"/>
                <w:u w:val="single"/>
              </w:rPr>
              <w:t xml:space="preserve"> （www.cqiic.com）</w:t>
            </w:r>
            <w:r>
              <w:rPr>
                <w:rFonts w:cs="Times New Roman" w:asciiTheme="minorEastAsia" w:hAnsiTheme="minorEastAsia"/>
                <w:color w:val="000000" w:themeColor="text1"/>
                <w:szCs w:val="21"/>
                <w:highlight w:val="none"/>
              </w:rPr>
              <w:t>发出</w:t>
            </w:r>
            <w:r>
              <w:rPr>
                <w:rFonts w:hint="eastAsia" w:cs="Times New Roman" w:asciiTheme="minorEastAsia" w:hAnsiTheme="minorEastAsia"/>
                <w:color w:val="000000" w:themeColor="text1"/>
                <w:szCs w:val="21"/>
                <w:highlight w:val="none"/>
              </w:rPr>
              <w:t>，并将澄清或者修改内容作为招标文件的补充部分。</w:t>
            </w:r>
          </w:p>
          <w:p>
            <w:pPr>
              <w:rPr>
                <w:rFonts w:ascii="Times New Roman" w:hAnsi="Times New Roman" w:eastAsia="宋体" w:cs="Times New Roman"/>
                <w:color w:val="000000" w:themeColor="text1"/>
                <w:szCs w:val="21"/>
                <w:highlight w:val="none"/>
              </w:rPr>
            </w:pPr>
            <w:r>
              <w:rPr>
                <w:rFonts w:cs="Times New Roman" w:asciiTheme="minorEastAsia" w:hAnsiTheme="minorEastAsia"/>
                <w:color w:val="000000" w:themeColor="text1"/>
                <w:szCs w:val="21"/>
                <w:highlight w:val="none"/>
              </w:rPr>
              <w:t>2、</w:t>
            </w:r>
            <w:r>
              <w:rPr>
                <w:rFonts w:ascii="Times New Roman" w:hAnsi="Times New Roman"/>
                <w:color w:val="000000" w:themeColor="text1"/>
                <w:szCs w:val="21"/>
                <w:highlight w:val="none"/>
              </w:rPr>
              <w:t>无论投标人是否</w:t>
            </w:r>
            <w:r>
              <w:rPr>
                <w:rFonts w:hint="eastAsia" w:ascii="Times New Roman" w:hAnsi="Times New Roman"/>
                <w:color w:val="000000" w:themeColor="text1"/>
                <w:szCs w:val="21"/>
                <w:highlight w:val="none"/>
              </w:rPr>
              <w:t>在</w:t>
            </w:r>
            <w:r>
              <w:rPr>
                <w:rFonts w:hint="eastAsia" w:cs="Times New Roman" w:asciiTheme="minorEastAsia" w:hAnsiTheme="minorEastAsia"/>
                <w:color w:val="000000" w:themeColor="text1"/>
                <w:szCs w:val="21"/>
                <w:highlight w:val="none"/>
                <w:u w:val="single"/>
              </w:rPr>
              <w:t xml:space="preserve"> （www.cqiic.com）</w:t>
            </w:r>
            <w:r>
              <w:rPr>
                <w:rFonts w:hint="eastAsia" w:cs="Times New Roman" w:asciiTheme="minorEastAsia" w:hAnsiTheme="minorEastAsia"/>
                <w:color w:val="000000" w:themeColor="text1"/>
                <w:szCs w:val="21"/>
                <w:highlight w:val="none"/>
              </w:rPr>
              <w:t>网上下载招标文件或澄清或修改内容，</w:t>
            </w:r>
            <w:r>
              <w:rPr>
                <w:rFonts w:ascii="Times New Roman" w:hAnsi="Times New Roman"/>
                <w:color w:val="000000" w:themeColor="text1"/>
                <w:szCs w:val="21"/>
                <w:highlight w:val="none"/>
              </w:rPr>
              <w:t>招标人和招标机构均视为投标人已知晓招标文件全部澄清或修改内容，由此产生的一切后果均由投标人自己负责</w:t>
            </w:r>
            <w:r>
              <w:rPr>
                <w:rFonts w:cs="Times New Roman" w:asciiTheme="minorEastAsia" w:hAnsiTheme="minorEastAsia"/>
                <w:color w:val="000000" w:themeColor="text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869" w:type="dxa"/>
            <w:gridSpan w:val="3"/>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b/>
                <w:color w:val="000000" w:themeColor="text1"/>
                <w:szCs w:val="21"/>
                <w:highlight w:val="none"/>
              </w:rPr>
              <w:t>四、投标文件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11.1</w:t>
            </w:r>
          </w:p>
        </w:tc>
        <w:tc>
          <w:tcPr>
            <w:tcW w:w="8817" w:type="dxa"/>
            <w:gridSpan w:val="2"/>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投标货币：人民币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11.2</w:t>
            </w:r>
          </w:p>
        </w:tc>
        <w:tc>
          <w:tcPr>
            <w:tcW w:w="8817" w:type="dxa"/>
            <w:gridSpan w:val="2"/>
            <w:vAlign w:val="center"/>
          </w:tcPr>
          <w:p>
            <w:pPr>
              <w:pStyle w:val="12"/>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1、投标报价包括投标总报价、标准卡产品单价报价及私人银行IC卡工艺相关报价（以上按第六章《投标文件格式》之“1.1报价明细表”格式进行填报），应完全包含招标文件（含附件、答疑、澄清及修改文件等）要求的服务范围。若因投标人在投标报价时有漏报、缺项的情况发生，招标人视为投标人已充分理解招标文件要求，漏报、漏项部分已计入投标报价之中，若中标后签订合同时单价不予调整。具体要求：</w:t>
            </w:r>
          </w:p>
          <w:p>
            <w:pPr>
              <w:pStyle w:val="289"/>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1）包含银行卡的制造、个人化写入、设计、包装、运输、送达安装、测试、验收、银行卡检测中心送检费用、提供培训、售后服务及税金（增值税）等所有费用。除此之外，采购人不支付其他任何费用。凡合同期内，因按照银行监管机构或中国银联、银行卡检测中心等其他银行卡组织相关规范要求，以及采购方业务产品变更，需要送相应检测机构的，检测费用由供应商自行承担。</w:t>
            </w:r>
          </w:p>
          <w:p>
            <w:pPr>
              <w:ind w:firstLine="420" w:firstLineChars="200"/>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2）供应商将根据招标人要求，免费进行卡片以及相关辅料的设计、制作，提供银行卡组织要求的报检文件和报备实物卡片，并在收到采购方订单后将卡片及辅料的设计原始文件交采购方留档（PSD格式、CDR格式或AI格式）。</w:t>
            </w:r>
          </w:p>
          <w:p>
            <w:pPr>
              <w:pStyle w:val="12"/>
              <w:ind w:firstLine="420" w:firstLineChars="200"/>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（3）投标总报价、标准卡产品单价报价及私人银行IC卡工艺相关报价均为一次性报价。</w:t>
            </w:r>
          </w:p>
          <w:p>
            <w:pPr>
              <w:pStyle w:val="12"/>
              <w:ind w:firstLine="420" w:firstLineChars="200"/>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（4）特别说明，本次报价均为包含可全额抵扣的增值税专用发票税金的价格。</w:t>
            </w:r>
          </w:p>
          <w:p>
            <w:pPr>
              <w:pStyle w:val="12"/>
              <w:rPr>
                <w:rFonts w:ascii="Times New Roman" w:hAnsi="Times New Roman" w:eastAsia="宋体" w:cs="Times New Roman"/>
                <w:b/>
                <w:color w:val="000000" w:themeColor="text1"/>
                <w:szCs w:val="21"/>
                <w:highlight w:val="none"/>
              </w:rPr>
            </w:pPr>
            <w:r>
              <w:rPr>
                <w:rFonts w:hint="eastAsia" w:ascii="Times New Roman" w:hAnsi="Times New Roman" w:eastAsia="宋体" w:cs="Times New Roman"/>
                <w:color w:val="000000" w:themeColor="text1"/>
                <w:szCs w:val="21"/>
                <w:highlight w:val="none"/>
              </w:rPr>
              <w:t>2、</w:t>
            </w:r>
            <w:r>
              <w:rPr>
                <w:rFonts w:hint="eastAsia" w:ascii="Times New Roman" w:hAnsi="Times New Roman" w:eastAsia="宋体" w:cs="Times New Roman"/>
                <w:b/>
                <w:color w:val="000000" w:themeColor="text1"/>
                <w:szCs w:val="21"/>
                <w:highlight w:val="none"/>
              </w:rPr>
              <w:t>本项目采购预算：</w:t>
            </w:r>
            <w:r>
              <w:rPr>
                <w:rFonts w:hint="eastAsia" w:eastAsia="宋体"/>
                <w:b/>
                <w:color w:val="000000" w:themeColor="text1"/>
                <w:highlight w:val="none"/>
                <w:u w:val="single"/>
              </w:rPr>
              <w:t xml:space="preserve"> </w:t>
            </w:r>
            <w:r>
              <w:rPr>
                <w:rFonts w:hint="eastAsia"/>
                <w:color w:val="000000" w:themeColor="text1"/>
                <w:highlight w:val="none"/>
              </w:rPr>
              <w:t>620</w:t>
            </w:r>
            <w:r>
              <w:rPr>
                <w:rFonts w:hint="eastAsia" w:eastAsia="宋体"/>
                <w:b/>
                <w:color w:val="000000" w:themeColor="text1"/>
                <w:highlight w:val="none"/>
                <w:u w:val="single"/>
              </w:rPr>
              <w:t xml:space="preserve"> </w:t>
            </w:r>
            <w:r>
              <w:rPr>
                <w:rFonts w:hint="eastAsia" w:ascii="Times New Roman" w:hAnsi="Times New Roman" w:eastAsia="宋体" w:cs="Times New Roman"/>
                <w:b/>
                <w:color w:val="000000" w:themeColor="text1"/>
                <w:szCs w:val="21"/>
                <w:highlight w:val="none"/>
              </w:rPr>
              <w:t>万元，投标人投标总报价不得超过该项目采购预算，否则作否决投标处理。</w:t>
            </w:r>
          </w:p>
          <w:p>
            <w:pPr>
              <w:pStyle w:val="12"/>
              <w:rPr>
                <w:rFonts w:ascii="Times New Roman" w:hAnsi="Times New Roman" w:eastAsia="宋体" w:cs="Times New Roman"/>
                <w:b/>
                <w:color w:val="000000" w:themeColor="text1"/>
                <w:szCs w:val="21"/>
                <w:highlight w:val="none"/>
              </w:rPr>
            </w:pPr>
            <w:r>
              <w:rPr>
                <w:rFonts w:hint="eastAsia" w:ascii="Times New Roman" w:hAnsi="Times New Roman" w:eastAsia="宋体" w:cs="Times New Roman"/>
                <w:color w:val="000000" w:themeColor="text1"/>
                <w:szCs w:val="21"/>
                <w:highlight w:val="none"/>
              </w:rPr>
              <w:t>3、投标报价还应按照招标文件第二章《投标人须知》第二节“</w:t>
            </w:r>
            <w:r>
              <w:rPr>
                <w:rFonts w:ascii="Times New Roman" w:hAnsi="Times New Roman" w:eastAsia="宋体" w:cs="Times New Roman"/>
                <w:color w:val="000000" w:themeColor="text1"/>
                <w:szCs w:val="21"/>
                <w:highlight w:val="none"/>
              </w:rPr>
              <w:t>十一、招标代理服务费</w:t>
            </w:r>
            <w:r>
              <w:rPr>
                <w:rFonts w:hint="eastAsia" w:ascii="Times New Roman" w:hAnsi="Times New Roman" w:eastAsia="宋体" w:cs="Times New Roman"/>
                <w:color w:val="000000" w:themeColor="text1"/>
                <w:szCs w:val="21"/>
                <w:highlight w:val="none"/>
              </w:rPr>
              <w:t>”的约定，将招标代理服务费计入投标总报价中，但不单独列项。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1052" w:type="dxa"/>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12.1</w:t>
            </w:r>
          </w:p>
        </w:tc>
        <w:tc>
          <w:tcPr>
            <w:tcW w:w="8817" w:type="dxa"/>
            <w:gridSpan w:val="2"/>
            <w:vAlign w:val="center"/>
          </w:tcPr>
          <w:p>
            <w:pPr>
              <w:rPr>
                <w:rFonts w:ascii="Times New Roman" w:hAnsi="Times New Roman" w:eastAsia="宋体" w:cs="Times New Roman"/>
                <w:b/>
                <w:color w:val="000000" w:themeColor="text1"/>
                <w:szCs w:val="21"/>
                <w:highlight w:val="none"/>
              </w:rPr>
            </w:pPr>
            <w:r>
              <w:rPr>
                <w:rFonts w:ascii="Times New Roman" w:hAnsi="Times New Roman" w:eastAsia="宋体" w:cs="Times New Roman"/>
                <w:b/>
                <w:color w:val="000000" w:themeColor="text1"/>
                <w:szCs w:val="21"/>
                <w:highlight w:val="none"/>
              </w:rPr>
              <w:t>投标保证金的缴纳：</w:t>
            </w:r>
          </w:p>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1、投标保证金金额：人民币</w:t>
            </w:r>
            <w:r>
              <w:rPr>
                <w:rFonts w:hint="eastAsia" w:ascii="Times New Roman" w:hAnsi="Times New Roman" w:eastAsia="宋体" w:cs="Times New Roman"/>
                <w:color w:val="000000" w:themeColor="text1"/>
                <w:szCs w:val="21"/>
                <w:highlight w:val="none"/>
              </w:rPr>
              <w:t xml:space="preserve"> 12 </w:t>
            </w:r>
            <w:r>
              <w:rPr>
                <w:rFonts w:ascii="Times New Roman" w:hAnsi="Times New Roman" w:eastAsia="宋体" w:cs="Times New Roman"/>
                <w:color w:val="000000" w:themeColor="text1"/>
                <w:szCs w:val="21"/>
                <w:highlight w:val="none"/>
              </w:rPr>
              <w:t>万元。</w:t>
            </w:r>
          </w:p>
          <w:p>
            <w:pPr>
              <w:spacing w:line="400" w:lineRule="exact"/>
              <w:rPr>
                <w:rFonts w:cs="Times New Roman" w:asciiTheme="minorEastAsia" w:hAnsiTheme="minorEastAsia"/>
                <w:color w:val="000000" w:themeColor="text1"/>
                <w:szCs w:val="21"/>
                <w:highlight w:val="none"/>
              </w:rPr>
            </w:pPr>
            <w:r>
              <w:rPr>
                <w:rFonts w:cs="Times New Roman" w:asciiTheme="minorEastAsia" w:hAnsiTheme="minorEastAsia"/>
                <w:color w:val="000000" w:themeColor="text1"/>
                <w:szCs w:val="21"/>
                <w:highlight w:val="none"/>
              </w:rPr>
              <w:t>2、投标保证金提交方式：以银行转账或银行电汇形式提交，投标人可任选一种。</w:t>
            </w:r>
          </w:p>
          <w:p>
            <w:pPr>
              <w:spacing w:line="400" w:lineRule="exact"/>
              <w:rPr>
                <w:rFonts w:ascii="Times New Roman" w:hAnsi="Times New Roman"/>
                <w:color w:val="000000" w:themeColor="text1"/>
                <w:szCs w:val="21"/>
                <w:highlight w:val="none"/>
              </w:rPr>
            </w:pPr>
            <w:r>
              <w:rPr>
                <w:rFonts w:cs="Times New Roman" w:asciiTheme="minorEastAsia" w:hAnsiTheme="minorEastAsia"/>
                <w:color w:val="000000" w:themeColor="text1"/>
                <w:szCs w:val="21"/>
                <w:highlight w:val="none"/>
              </w:rPr>
              <w:t>3、提交时间和方式：</w:t>
            </w:r>
            <w:r>
              <w:rPr>
                <w:rFonts w:hint="eastAsia" w:ascii="宋体" w:hAnsi="宋体"/>
                <w:color w:val="000000" w:themeColor="text1"/>
                <w:kern w:val="0"/>
                <w:highlight w:val="none"/>
              </w:rPr>
              <w:t>投标人应向以下指定账户</w:t>
            </w:r>
            <w:r>
              <w:rPr>
                <w:rFonts w:ascii="Times New Roman" w:hAnsi="Times New Roman" w:eastAsia="宋体" w:cs="Times New Roman"/>
                <w:color w:val="000000" w:themeColor="text1"/>
                <w:szCs w:val="21"/>
                <w:highlight w:val="none"/>
              </w:rPr>
              <w:t>直接转（汇）入</w:t>
            </w:r>
            <w:r>
              <w:rPr>
                <w:rFonts w:hint="eastAsia" w:ascii="宋体" w:hAnsi="宋体"/>
                <w:color w:val="000000" w:themeColor="text1"/>
                <w:kern w:val="0"/>
                <w:highlight w:val="none"/>
              </w:rPr>
              <w:t>足额的投标保证金</w:t>
            </w:r>
            <w:r>
              <w:rPr>
                <w:rFonts w:hint="eastAsia" w:ascii="宋体" w:hAnsi="宋体"/>
                <w:b/>
                <w:bCs/>
                <w:color w:val="000000" w:themeColor="text1"/>
                <w:kern w:val="0"/>
                <w:highlight w:val="none"/>
              </w:rPr>
              <w:t>（各投标人须按招标文件要求，在投标文件中附投标保证金提交凭证）,</w:t>
            </w:r>
            <w:r>
              <w:rPr>
                <w:rFonts w:ascii="Times New Roman" w:hAnsi="Times New Roman" w:eastAsia="宋体" w:cs="Times New Roman"/>
                <w:b/>
                <w:color w:val="000000" w:themeColor="text1"/>
                <w:szCs w:val="21"/>
                <w:highlight w:val="none"/>
              </w:rPr>
              <w:t>其转（汇）款到账截止时间为投标截止时间前</w:t>
            </w:r>
            <w:r>
              <w:rPr>
                <w:rFonts w:hint="eastAsia" w:ascii="Times New Roman" w:hAnsi="Times New Roman" w:eastAsia="宋体" w:cs="Times New Roman"/>
                <w:b/>
                <w:color w:val="000000" w:themeColor="text1"/>
                <w:szCs w:val="21"/>
                <w:highlight w:val="none"/>
              </w:rPr>
              <w:t>一天17</w:t>
            </w:r>
            <w:r>
              <w:rPr>
                <w:rFonts w:ascii="Times New Roman" w:hAnsi="Times New Roman" w:eastAsia="宋体" w:cs="Times New Roman"/>
                <w:b/>
                <w:color w:val="000000" w:themeColor="text1"/>
                <w:szCs w:val="21"/>
                <w:highlight w:val="none"/>
              </w:rPr>
              <w:t>时</w:t>
            </w:r>
            <w:r>
              <w:rPr>
                <w:rFonts w:hint="eastAsia" w:ascii="Times New Roman" w:hAnsi="Times New Roman" w:eastAsia="宋体" w:cs="Times New Roman"/>
                <w:b/>
                <w:color w:val="000000" w:themeColor="text1"/>
                <w:szCs w:val="21"/>
                <w:highlight w:val="none"/>
              </w:rPr>
              <w:t>00分</w:t>
            </w:r>
            <w:r>
              <w:rPr>
                <w:rFonts w:hint="eastAsia" w:ascii="宋体" w:hAnsi="宋体"/>
                <w:color w:val="000000" w:themeColor="text1"/>
                <w:kern w:val="0"/>
                <w:highlight w:val="none"/>
              </w:rPr>
              <w:t>。</w:t>
            </w:r>
            <w:r>
              <w:rPr>
                <w:rFonts w:hint="eastAsia" w:ascii="Times New Roman" w:hAnsi="Times New Roman"/>
                <w:color w:val="000000" w:themeColor="text1"/>
                <w:szCs w:val="21"/>
                <w:highlight w:val="none"/>
              </w:rPr>
              <w:t>若本招标文件规定的投标文件递交截止时间顺延，则投标保证金到账截止时间相应顺延。</w:t>
            </w:r>
          </w:p>
          <w:p>
            <w:pPr>
              <w:spacing w:line="400" w:lineRule="exact"/>
              <w:rPr>
                <w:rFonts w:ascii="Times New Roman" w:hAnsi="Times New Roman"/>
                <w:color w:val="000000" w:themeColor="text1"/>
                <w:szCs w:val="21"/>
                <w:highlight w:val="none"/>
              </w:rPr>
            </w:pPr>
            <w:r>
              <w:rPr>
                <w:rFonts w:hint="eastAsia" w:ascii="Times New Roman" w:hAnsi="Times New Roman"/>
                <w:color w:val="000000" w:themeColor="text1"/>
                <w:szCs w:val="21"/>
                <w:highlight w:val="none"/>
              </w:rPr>
              <w:t>各投标人在银行转账（电汇）投标保证金时，须充分考虑银行转账（电汇）的时间差风险，如同城转账、异地转账或汇款、跨行转账或电汇的时间要求，未在本招标文件规定的截止时间前到账的，按否决投标处理；</w:t>
            </w:r>
          </w:p>
          <w:p>
            <w:pPr>
              <w:spacing w:line="400" w:lineRule="exact"/>
              <w:rPr>
                <w:rFonts w:ascii="Times New Roman" w:hAnsi="Times New Roman"/>
                <w:color w:val="000000" w:themeColor="text1"/>
                <w:szCs w:val="21"/>
                <w:highlight w:val="none"/>
              </w:rPr>
            </w:pPr>
          </w:p>
          <w:p>
            <w:pPr>
              <w:spacing w:line="400" w:lineRule="exact"/>
              <w:rPr>
                <w:rFonts w:ascii="Times New Roman" w:hAnsi="Times New Roman"/>
                <w:b/>
                <w:color w:val="000000" w:themeColor="text1"/>
                <w:szCs w:val="21"/>
                <w:highlight w:val="none"/>
              </w:rPr>
            </w:pPr>
            <w:r>
              <w:rPr>
                <w:rFonts w:hint="eastAsia" w:ascii="Times New Roman" w:hAnsi="Times New Roman"/>
                <w:b/>
                <w:color w:val="000000" w:themeColor="text1"/>
                <w:szCs w:val="21"/>
                <w:highlight w:val="none"/>
              </w:rPr>
              <w:t>投标保证金指定账户：</w:t>
            </w:r>
          </w:p>
          <w:p>
            <w:pPr>
              <w:spacing w:line="400" w:lineRule="exact"/>
              <w:rPr>
                <w:rFonts w:ascii="Times New Roman" w:hAnsi="Times New Roman"/>
                <w:color w:val="000000" w:themeColor="text1"/>
                <w:szCs w:val="21"/>
                <w:highlight w:val="none"/>
              </w:rPr>
            </w:pPr>
            <w:r>
              <w:rPr>
                <w:rFonts w:hint="eastAsia" w:ascii="Times New Roman" w:hAnsi="Times New Roman"/>
                <w:color w:val="000000" w:themeColor="text1"/>
                <w:szCs w:val="21"/>
                <w:highlight w:val="none"/>
              </w:rPr>
              <w:t>单位全称：重庆招标采购（集团）有限责任公司</w:t>
            </w:r>
          </w:p>
          <w:p>
            <w:pPr>
              <w:spacing w:line="400" w:lineRule="exact"/>
              <w:rPr>
                <w:rFonts w:ascii="Times New Roman" w:hAnsi="Times New Roman"/>
                <w:color w:val="000000" w:themeColor="text1"/>
                <w:szCs w:val="21"/>
                <w:highlight w:val="none"/>
              </w:rPr>
            </w:pPr>
            <w:r>
              <w:rPr>
                <w:rFonts w:hint="eastAsia" w:ascii="Times New Roman" w:hAnsi="Times New Roman"/>
                <w:color w:val="000000" w:themeColor="text1"/>
                <w:szCs w:val="21"/>
                <w:highlight w:val="none"/>
              </w:rPr>
              <w:t>开户行：工行重庆五江支行</w:t>
            </w:r>
          </w:p>
          <w:p>
            <w:pPr>
              <w:spacing w:line="400" w:lineRule="exact"/>
              <w:rPr>
                <w:rFonts w:cs="Times New Roman" w:asciiTheme="minorEastAsia" w:hAnsiTheme="minorEastAsia"/>
                <w:color w:val="000000" w:themeColor="text1"/>
                <w:szCs w:val="21"/>
                <w:highlight w:val="none"/>
              </w:rPr>
            </w:pPr>
            <w:r>
              <w:rPr>
                <w:rFonts w:hint="eastAsia" w:ascii="Times New Roman" w:hAnsi="Times New Roman"/>
                <w:color w:val="000000" w:themeColor="text1"/>
                <w:szCs w:val="21"/>
                <w:highlight w:val="none"/>
              </w:rPr>
              <w:t>账号：3100031009100026378</w:t>
            </w:r>
          </w:p>
          <w:p>
            <w:pPr>
              <w:spacing w:line="400" w:lineRule="exact"/>
              <w:rPr>
                <w:rFonts w:ascii="Times New Roman" w:hAnsi="Times New Roman"/>
                <w:b/>
                <w:color w:val="000000" w:themeColor="text1"/>
                <w:szCs w:val="21"/>
                <w:highlight w:val="none"/>
              </w:rPr>
            </w:pPr>
          </w:p>
          <w:p>
            <w:pPr>
              <w:spacing w:line="400" w:lineRule="exact"/>
              <w:rPr>
                <w:rFonts w:ascii="Times New Roman" w:hAnsi="Times New Roman"/>
                <w:b/>
                <w:color w:val="000000" w:themeColor="text1"/>
                <w:szCs w:val="21"/>
                <w:highlight w:val="none"/>
              </w:rPr>
            </w:pPr>
            <w:r>
              <w:rPr>
                <w:rFonts w:hint="eastAsia" w:ascii="Times New Roman" w:hAnsi="Times New Roman"/>
                <w:b/>
                <w:color w:val="000000" w:themeColor="text1"/>
                <w:szCs w:val="21"/>
                <w:highlight w:val="none"/>
              </w:rPr>
              <w:t>注：</w:t>
            </w:r>
          </w:p>
          <w:p>
            <w:pPr>
              <w:numPr>
                <w:ilvl w:val="0"/>
                <w:numId w:val="7"/>
              </w:numPr>
              <w:spacing w:line="400" w:lineRule="exact"/>
              <w:rPr>
                <w:rFonts w:ascii="Times New Roman" w:hAnsi="Times New Roman"/>
                <w:b/>
                <w:color w:val="000000" w:themeColor="text1"/>
                <w:szCs w:val="21"/>
                <w:highlight w:val="none"/>
              </w:rPr>
            </w:pPr>
            <w:r>
              <w:rPr>
                <w:rFonts w:hint="eastAsia" w:ascii="Times New Roman" w:hAnsi="Times New Roman"/>
                <w:b/>
                <w:color w:val="000000" w:themeColor="text1"/>
                <w:szCs w:val="21"/>
                <w:highlight w:val="none"/>
              </w:rPr>
              <w:t>打款时请仔细核对投标保证金账户信息：开户行、单位全称、账号等；</w:t>
            </w:r>
          </w:p>
          <w:p>
            <w:pPr>
              <w:numPr>
                <w:ilvl w:val="0"/>
                <w:numId w:val="7"/>
              </w:numPr>
              <w:spacing w:line="400" w:lineRule="exact"/>
              <w:rPr>
                <w:rFonts w:ascii="Times New Roman" w:hAnsi="Times New Roman"/>
                <w:b/>
                <w:color w:val="000000" w:themeColor="text1"/>
                <w:szCs w:val="21"/>
                <w:highlight w:val="none"/>
              </w:rPr>
            </w:pPr>
            <w:r>
              <w:rPr>
                <w:rFonts w:hint="eastAsia" w:ascii="Times New Roman" w:hAnsi="Times New Roman"/>
                <w:b/>
                <w:color w:val="000000" w:themeColor="text1"/>
                <w:szCs w:val="21"/>
                <w:highlight w:val="none"/>
              </w:rPr>
              <w:t>若投标人未按招标文件要求，在投标文件中附投标保证金提交凭证导致评标委员会无法核实其保证金是否按相关规定提交的，后果自负。</w:t>
            </w:r>
          </w:p>
          <w:p>
            <w:pPr>
              <w:rPr>
                <w:rFonts w:ascii="Times New Roman" w:hAnsi="Times New Roman" w:eastAsia="宋体" w:cs="Times New Roman"/>
                <w:b/>
                <w:color w:val="000000" w:themeColor="text1"/>
                <w:szCs w:val="21"/>
                <w:highlight w:val="none"/>
              </w:rPr>
            </w:pPr>
            <w:r>
              <w:rPr>
                <w:rFonts w:cs="Times New Roman" w:asciiTheme="minorEastAsia" w:hAnsiTheme="minorEastAsia"/>
                <w:color w:val="000000" w:themeColor="text1"/>
                <w:szCs w:val="21"/>
                <w:highlight w:val="none"/>
              </w:rPr>
              <w:t>4、投标保证金有效期：90天。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 w:hRule="atLeast"/>
        </w:trPr>
        <w:tc>
          <w:tcPr>
            <w:tcW w:w="1052" w:type="dxa"/>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12.</w:t>
            </w:r>
            <w:r>
              <w:rPr>
                <w:rFonts w:hint="eastAsia" w:ascii="Times New Roman" w:hAnsi="Times New Roman" w:eastAsia="宋体" w:cs="Times New Roman"/>
                <w:color w:val="000000" w:themeColor="text1"/>
                <w:szCs w:val="21"/>
                <w:highlight w:val="none"/>
              </w:rPr>
              <w:t>3</w:t>
            </w:r>
          </w:p>
        </w:tc>
        <w:tc>
          <w:tcPr>
            <w:tcW w:w="8817" w:type="dxa"/>
            <w:gridSpan w:val="2"/>
            <w:vAlign w:val="center"/>
          </w:tcPr>
          <w:p>
            <w:pP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中标候选人以外投标人的投标保证金退还：</w:t>
            </w:r>
          </w:p>
          <w:p>
            <w:pPr>
              <w:ind w:firstLine="420" w:firstLineChars="200"/>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在中标通知书发出后5日内，将中标候选人以外的投标人投标保证金退还至其来款帐户。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 w:hRule="atLeast"/>
        </w:trPr>
        <w:tc>
          <w:tcPr>
            <w:tcW w:w="1052" w:type="dxa"/>
            <w:vAlign w:val="center"/>
          </w:tcPr>
          <w:p>
            <w:pP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12.4</w:t>
            </w:r>
          </w:p>
        </w:tc>
        <w:tc>
          <w:tcPr>
            <w:tcW w:w="8817" w:type="dxa"/>
            <w:gridSpan w:val="2"/>
            <w:vAlign w:val="center"/>
          </w:tcPr>
          <w:p>
            <w:pP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其他</w:t>
            </w:r>
            <w:r>
              <w:rPr>
                <w:rFonts w:ascii="Times New Roman" w:hAnsi="Times New Roman" w:eastAsia="宋体" w:cs="Times New Roman"/>
                <w:color w:val="000000" w:themeColor="text1"/>
                <w:szCs w:val="21"/>
                <w:highlight w:val="none"/>
              </w:rPr>
              <w:t>中标候选人的投标保证金的退还：</w:t>
            </w:r>
          </w:p>
          <w:p>
            <w:pPr>
              <w:ind w:firstLine="420" w:firstLineChars="200"/>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其他中标候选人在招标人与中标人签订合同后5日内，将投标保证金退还至其来款账户。</w:t>
            </w:r>
          </w:p>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中标人投标保证金的退还：</w:t>
            </w:r>
          </w:p>
          <w:p>
            <w:pPr>
              <w:ind w:firstLine="420" w:firstLineChars="200"/>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在招标人与中标人签订合同且提交履约担保（如果有）后5日内，将投标保证金退还至其来款账户。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5" w:hRule="atLeast"/>
        </w:trPr>
        <w:tc>
          <w:tcPr>
            <w:tcW w:w="1052" w:type="dxa"/>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12.5</w:t>
            </w:r>
          </w:p>
        </w:tc>
        <w:tc>
          <w:tcPr>
            <w:tcW w:w="8817" w:type="dxa"/>
            <w:gridSpan w:val="2"/>
            <w:vAlign w:val="center"/>
          </w:tcPr>
          <w:p>
            <w:pP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其他可以不予退还投标保证金的情形：</w:t>
            </w:r>
          </w:p>
          <w:p>
            <w:pP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1、</w:t>
            </w:r>
            <w:r>
              <w:rPr>
                <w:rFonts w:hint="eastAsia" w:ascii="Times New Roman" w:hAnsi="Times New Roman" w:eastAsia="宋体" w:cs="Times New Roman"/>
                <w:color w:val="000000" w:themeColor="text1"/>
                <w:szCs w:val="21"/>
                <w:highlight w:val="none"/>
              </w:rPr>
              <w:tab/>
            </w:r>
            <w:r>
              <w:rPr>
                <w:rFonts w:hint="eastAsia" w:ascii="Times New Roman" w:hAnsi="Times New Roman" w:eastAsia="宋体" w:cs="Times New Roman"/>
                <w:color w:val="000000" w:themeColor="text1"/>
                <w:szCs w:val="21"/>
                <w:highlight w:val="none"/>
              </w:rPr>
              <w:t>公示结束后，拟中标人不按招标文件规定参加相关测试（如果有）；</w:t>
            </w:r>
          </w:p>
          <w:p>
            <w:pP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2、</w:t>
            </w:r>
            <w:r>
              <w:rPr>
                <w:rFonts w:hint="eastAsia" w:ascii="Times New Roman" w:hAnsi="Times New Roman" w:eastAsia="宋体" w:cs="Times New Roman"/>
                <w:color w:val="000000" w:themeColor="text1"/>
                <w:szCs w:val="21"/>
                <w:highlight w:val="none"/>
              </w:rPr>
              <w:tab/>
            </w:r>
            <w:r>
              <w:rPr>
                <w:rFonts w:hint="eastAsia" w:ascii="Times New Roman" w:hAnsi="Times New Roman" w:eastAsia="宋体" w:cs="Times New Roman"/>
                <w:color w:val="000000" w:themeColor="text1"/>
                <w:szCs w:val="21"/>
                <w:highlight w:val="none"/>
              </w:rPr>
              <w:t>拟中标人未能按照招标文件规定通过相关测试（如果有）；</w:t>
            </w:r>
          </w:p>
          <w:p>
            <w:pP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3、</w:t>
            </w:r>
            <w:r>
              <w:rPr>
                <w:rFonts w:hint="eastAsia" w:ascii="Times New Roman" w:hAnsi="Times New Roman" w:eastAsia="宋体" w:cs="Times New Roman"/>
                <w:color w:val="000000" w:themeColor="text1"/>
                <w:szCs w:val="21"/>
                <w:highlight w:val="none"/>
              </w:rPr>
              <w:tab/>
            </w:r>
            <w:r>
              <w:rPr>
                <w:rFonts w:hint="eastAsia" w:ascii="Times New Roman" w:hAnsi="Times New Roman" w:eastAsia="宋体" w:cs="Times New Roman"/>
                <w:color w:val="000000" w:themeColor="text1"/>
                <w:szCs w:val="21"/>
                <w:highlight w:val="none"/>
              </w:rPr>
              <w:t>中标人收到中标通知书领取通知后，未按照招标人的通知时限领取中标通知书；</w:t>
            </w:r>
          </w:p>
          <w:p>
            <w:pP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4、</w:t>
            </w:r>
            <w:r>
              <w:rPr>
                <w:rFonts w:hint="eastAsia" w:ascii="Times New Roman" w:hAnsi="Times New Roman" w:eastAsia="宋体" w:cs="Times New Roman"/>
                <w:color w:val="000000" w:themeColor="text1"/>
                <w:szCs w:val="21"/>
                <w:highlight w:val="none"/>
              </w:rPr>
              <w:tab/>
            </w:r>
            <w:r>
              <w:rPr>
                <w:rFonts w:hint="eastAsia" w:ascii="Times New Roman" w:hAnsi="Times New Roman" w:eastAsia="宋体" w:cs="Times New Roman"/>
                <w:color w:val="000000" w:themeColor="text1"/>
                <w:szCs w:val="21"/>
                <w:highlight w:val="none"/>
              </w:rPr>
              <w:t>《招标投标法》、《招标投标法实施条例》及《重庆市招标投标条例》等法律法规规定的没收投标保证金的情况。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4" w:hRule="atLeast"/>
        </w:trPr>
        <w:tc>
          <w:tcPr>
            <w:tcW w:w="1052" w:type="dxa"/>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13</w:t>
            </w:r>
          </w:p>
        </w:tc>
        <w:tc>
          <w:tcPr>
            <w:tcW w:w="8817" w:type="dxa"/>
            <w:gridSpan w:val="2"/>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投标文件有效期：90日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trPr>
        <w:tc>
          <w:tcPr>
            <w:tcW w:w="1052" w:type="dxa"/>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14.3</w:t>
            </w:r>
          </w:p>
        </w:tc>
        <w:tc>
          <w:tcPr>
            <w:tcW w:w="8817" w:type="dxa"/>
            <w:gridSpan w:val="2"/>
            <w:vAlign w:val="center"/>
          </w:tcPr>
          <w:p>
            <w:pP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投标文件份数:纸质版正本1份，纸质版副本1份，电子投标文件数量2份；</w:t>
            </w:r>
          </w:p>
          <w:p>
            <w:pP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其中电子投标文件须按以下执行：全套投标文件扫描件的U盘2份，格式为PDF或JPG。</w:t>
            </w:r>
          </w:p>
          <w:p>
            <w:pP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注：电子投标文件仅作存档使用，不作为评标依据；电子投标文件与纸质版投标文件应当一致，当电子投标文件与纸质版投标文件不一致时，以纸质版投标文件为准。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69" w:type="dxa"/>
            <w:gridSpan w:val="3"/>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b/>
                <w:color w:val="000000" w:themeColor="text1"/>
                <w:szCs w:val="21"/>
                <w:highlight w:val="none"/>
              </w:rPr>
              <w:t>五、投标文件的递交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2" w:hRule="atLeast"/>
        </w:trPr>
        <w:tc>
          <w:tcPr>
            <w:tcW w:w="1092" w:type="dxa"/>
            <w:gridSpan w:val="2"/>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15.1</w:t>
            </w:r>
          </w:p>
        </w:tc>
        <w:tc>
          <w:tcPr>
            <w:tcW w:w="8777" w:type="dxa"/>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投标人应制作一套投标文件正本和</w:t>
            </w:r>
            <w:r>
              <w:rPr>
                <w:rFonts w:ascii="Times New Roman" w:hAnsi="Times New Roman" w:eastAsia="宋体" w:cs="Times New Roman"/>
                <w:b/>
                <w:color w:val="000000" w:themeColor="text1"/>
                <w:szCs w:val="21"/>
                <w:highlight w:val="none"/>
              </w:rPr>
              <w:t>投标人须知前附表</w:t>
            </w:r>
            <w:r>
              <w:rPr>
                <w:rFonts w:ascii="Times New Roman" w:hAnsi="Times New Roman" w:eastAsia="宋体" w:cs="Times New Roman"/>
                <w:color w:val="000000" w:themeColor="text1"/>
                <w:szCs w:val="21"/>
                <w:highlight w:val="none"/>
              </w:rPr>
              <w:t>中规定数目的副本，每套投标文件须清楚地标明“正本”或“副本”字样。若副本与正本不符，以正本为准。投标人应同时提供电子介质的投标文件，电子介质的投标文件仅作为存档使用，不作为评审的依据。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4" w:hRule="atLeast"/>
        </w:trPr>
        <w:tc>
          <w:tcPr>
            <w:tcW w:w="1092" w:type="dxa"/>
            <w:gridSpan w:val="2"/>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15.2</w:t>
            </w:r>
          </w:p>
        </w:tc>
        <w:tc>
          <w:tcPr>
            <w:tcW w:w="8777" w:type="dxa"/>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投标文件纸质版和电子版由投标人自行密封。投标文件密封袋，应有投标人法定代表人或其授权代表的签字或加盖投标单位</w:t>
            </w:r>
            <w:r>
              <w:rPr>
                <w:rFonts w:hint="eastAsia" w:ascii="Times New Roman" w:hAnsi="Times New Roman" w:eastAsia="宋体" w:cs="Times New Roman"/>
                <w:color w:val="000000" w:themeColor="text1"/>
                <w:szCs w:val="21"/>
                <w:highlight w:val="none"/>
              </w:rPr>
              <w:t>公</w:t>
            </w:r>
            <w:r>
              <w:rPr>
                <w:rFonts w:ascii="Times New Roman" w:hAnsi="Times New Roman" w:eastAsia="宋体" w:cs="Times New Roman"/>
                <w:color w:val="000000" w:themeColor="text1"/>
                <w:szCs w:val="21"/>
                <w:highlight w:val="none"/>
              </w:rPr>
              <w:t>章。封皮上写明项目名称，</w:t>
            </w:r>
            <w:r>
              <w:rPr>
                <w:rFonts w:ascii="Times New Roman" w:hAnsi="Times New Roman" w:eastAsia="宋体" w:cs="Times New Roman"/>
                <w:b/>
                <w:color w:val="000000" w:themeColor="text1"/>
                <w:szCs w:val="21"/>
                <w:highlight w:val="none"/>
              </w:rPr>
              <w:t>若投标文件过厚，投标人可自行将投标文件分装成多册多部分。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2" w:hRule="atLeast"/>
        </w:trPr>
        <w:tc>
          <w:tcPr>
            <w:tcW w:w="1092" w:type="dxa"/>
            <w:gridSpan w:val="2"/>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16.1</w:t>
            </w:r>
          </w:p>
        </w:tc>
        <w:tc>
          <w:tcPr>
            <w:tcW w:w="8777" w:type="dxa"/>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投标截止时间：</w:t>
            </w:r>
            <w:r>
              <w:rPr>
                <w:rFonts w:ascii="Times New Roman" w:hAnsi="Times New Roman" w:eastAsia="宋体" w:cs="Times New Roman"/>
                <w:color w:val="000000" w:themeColor="text1"/>
                <w:szCs w:val="21"/>
                <w:highlight w:val="none"/>
                <w:u w:val="single"/>
              </w:rPr>
              <w:t>201</w:t>
            </w:r>
            <w:r>
              <w:rPr>
                <w:rFonts w:hint="eastAsia" w:ascii="Times New Roman" w:hAnsi="Times New Roman" w:eastAsia="宋体" w:cs="Times New Roman"/>
                <w:color w:val="000000" w:themeColor="text1"/>
                <w:szCs w:val="21"/>
                <w:highlight w:val="none"/>
                <w:u w:val="single"/>
              </w:rPr>
              <w:t>9</w:t>
            </w:r>
            <w:r>
              <w:rPr>
                <w:rFonts w:ascii="Times New Roman" w:hAnsi="Times New Roman" w:eastAsia="宋体" w:cs="Times New Roman"/>
                <w:color w:val="000000" w:themeColor="text1"/>
                <w:szCs w:val="21"/>
                <w:highlight w:val="none"/>
              </w:rPr>
              <w:t>年</w:t>
            </w:r>
            <w:r>
              <w:rPr>
                <w:rFonts w:hint="eastAsia" w:ascii="Times New Roman" w:hAnsi="Times New Roman" w:eastAsia="宋体" w:cs="Times New Roman"/>
                <w:color w:val="000000" w:themeColor="text1"/>
                <w:szCs w:val="21"/>
                <w:highlight w:val="none"/>
                <w:lang w:val="en-US" w:eastAsia="zh-CN"/>
              </w:rPr>
              <w:t>11</w:t>
            </w:r>
            <w:r>
              <w:rPr>
                <w:rFonts w:hint="eastAsia" w:ascii="Times New Roman" w:hAnsi="Times New Roman" w:eastAsia="宋体" w:cs="Times New Roman"/>
                <w:color w:val="000000" w:themeColor="text1"/>
                <w:szCs w:val="21"/>
                <w:highlight w:val="none"/>
              </w:rPr>
              <w:t xml:space="preserve"> </w:t>
            </w:r>
            <w:r>
              <w:rPr>
                <w:rFonts w:ascii="Times New Roman" w:hAnsi="Times New Roman" w:eastAsia="宋体" w:cs="Times New Roman"/>
                <w:color w:val="000000" w:themeColor="text1"/>
                <w:szCs w:val="21"/>
                <w:highlight w:val="none"/>
              </w:rPr>
              <w:t>月</w:t>
            </w:r>
            <w:r>
              <w:rPr>
                <w:rFonts w:hint="eastAsia" w:ascii="Times New Roman" w:hAnsi="Times New Roman" w:eastAsia="宋体" w:cs="Times New Roman"/>
                <w:color w:val="000000" w:themeColor="text1"/>
                <w:szCs w:val="21"/>
                <w:highlight w:val="none"/>
                <w:lang w:val="en-US" w:eastAsia="zh-CN"/>
              </w:rPr>
              <w:t>15</w:t>
            </w:r>
            <w:r>
              <w:rPr>
                <w:rFonts w:hint="eastAsia" w:ascii="Times New Roman" w:hAnsi="Times New Roman" w:eastAsia="宋体" w:cs="Times New Roman"/>
                <w:color w:val="000000" w:themeColor="text1"/>
                <w:szCs w:val="21"/>
                <w:highlight w:val="none"/>
              </w:rPr>
              <w:t xml:space="preserve"> </w:t>
            </w:r>
            <w:r>
              <w:rPr>
                <w:rFonts w:ascii="Times New Roman" w:hAnsi="Times New Roman" w:eastAsia="宋体" w:cs="Times New Roman"/>
                <w:color w:val="000000" w:themeColor="text1"/>
                <w:szCs w:val="21"/>
                <w:highlight w:val="none"/>
              </w:rPr>
              <w:t>日</w:t>
            </w:r>
            <w:r>
              <w:rPr>
                <w:rFonts w:hint="eastAsia" w:ascii="Times New Roman" w:hAnsi="Times New Roman" w:eastAsia="宋体" w:cs="Times New Roman"/>
                <w:color w:val="000000" w:themeColor="text1"/>
                <w:szCs w:val="21"/>
                <w:highlight w:val="none"/>
              </w:rPr>
              <w:t>10</w:t>
            </w:r>
            <w:r>
              <w:rPr>
                <w:rFonts w:ascii="Times New Roman" w:hAnsi="Times New Roman" w:eastAsia="宋体" w:cs="Times New Roman"/>
                <w:color w:val="000000" w:themeColor="text1"/>
                <w:szCs w:val="21"/>
                <w:highlight w:val="none"/>
              </w:rPr>
              <w:t>时</w:t>
            </w:r>
            <w:r>
              <w:rPr>
                <w:rFonts w:hint="eastAsia" w:ascii="Times New Roman" w:hAnsi="Times New Roman" w:eastAsia="宋体" w:cs="Times New Roman"/>
                <w:color w:val="000000" w:themeColor="text1"/>
                <w:szCs w:val="21"/>
                <w:highlight w:val="none"/>
              </w:rPr>
              <w:t>00</w:t>
            </w:r>
            <w:r>
              <w:rPr>
                <w:rFonts w:ascii="Times New Roman" w:hAnsi="Times New Roman" w:eastAsia="宋体" w:cs="Times New Roman"/>
                <w:color w:val="000000" w:themeColor="text1"/>
                <w:szCs w:val="21"/>
                <w:highlight w:val="none"/>
              </w:rPr>
              <w:t>分(北京时间)</w:t>
            </w:r>
          </w:p>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投标文件递交至：</w:t>
            </w:r>
            <w:r>
              <w:rPr>
                <w:rFonts w:cs="KLRFJD+ËÎÌå" w:asciiTheme="minorEastAsia" w:hAnsiTheme="minorEastAsia"/>
                <w:color w:val="000000" w:themeColor="text1"/>
                <w:spacing w:val="-1"/>
                <w:highlight w:val="none"/>
                <w:lang w:val="ru-RU"/>
              </w:rPr>
              <w:t>重庆市江北区五里店五简路2号重庆咨询大厦开标厅（详见A栋一楼指示屏）</w:t>
            </w:r>
            <w:r>
              <w:rPr>
                <w:rFonts w:hint="eastAsia" w:cs="KLRFJD+ËÎÌå" w:asciiTheme="minorEastAsia" w:hAnsiTheme="minorEastAsia"/>
                <w:color w:val="000000" w:themeColor="text1"/>
                <w:spacing w:val="-1"/>
                <w:highlight w:val="none"/>
                <w:lang w:val="ru-RU"/>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69" w:type="dxa"/>
            <w:gridSpan w:val="3"/>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b/>
                <w:color w:val="000000" w:themeColor="text1"/>
                <w:szCs w:val="21"/>
                <w:highlight w:val="none"/>
              </w:rPr>
              <w:t>六、开标及评标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trPr>
        <w:tc>
          <w:tcPr>
            <w:tcW w:w="1052" w:type="dxa"/>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18.1</w:t>
            </w:r>
          </w:p>
        </w:tc>
        <w:tc>
          <w:tcPr>
            <w:tcW w:w="8817" w:type="dxa"/>
            <w:gridSpan w:val="2"/>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开标时间：</w:t>
            </w:r>
            <w:r>
              <w:rPr>
                <w:rFonts w:ascii="Times New Roman" w:hAnsi="Times New Roman" w:eastAsia="宋体" w:cs="Times New Roman"/>
                <w:color w:val="000000" w:themeColor="text1"/>
                <w:szCs w:val="21"/>
                <w:highlight w:val="none"/>
                <w:u w:val="single"/>
              </w:rPr>
              <w:t>201</w:t>
            </w:r>
            <w:r>
              <w:rPr>
                <w:rFonts w:hint="eastAsia" w:ascii="Times New Roman" w:hAnsi="Times New Roman" w:eastAsia="宋体" w:cs="Times New Roman"/>
                <w:color w:val="000000" w:themeColor="text1"/>
                <w:szCs w:val="21"/>
                <w:highlight w:val="none"/>
                <w:u w:val="single"/>
              </w:rPr>
              <w:t>9</w:t>
            </w:r>
            <w:r>
              <w:rPr>
                <w:rFonts w:ascii="Times New Roman" w:hAnsi="Times New Roman" w:eastAsia="宋体" w:cs="Times New Roman"/>
                <w:color w:val="000000" w:themeColor="text1"/>
                <w:szCs w:val="21"/>
                <w:highlight w:val="none"/>
              </w:rPr>
              <w:t>年</w:t>
            </w:r>
            <w:r>
              <w:rPr>
                <w:rFonts w:hint="eastAsia" w:ascii="Times New Roman" w:hAnsi="Times New Roman" w:eastAsia="宋体" w:cs="Times New Roman"/>
                <w:color w:val="000000" w:themeColor="text1"/>
                <w:szCs w:val="21"/>
                <w:highlight w:val="none"/>
                <w:lang w:val="en-US" w:eastAsia="zh-CN"/>
              </w:rPr>
              <w:t>11</w:t>
            </w:r>
            <w:r>
              <w:rPr>
                <w:rFonts w:hint="eastAsia" w:ascii="Times New Roman" w:hAnsi="Times New Roman" w:eastAsia="宋体" w:cs="Times New Roman"/>
                <w:color w:val="000000" w:themeColor="text1"/>
                <w:szCs w:val="21"/>
                <w:highlight w:val="none"/>
              </w:rPr>
              <w:t xml:space="preserve"> </w:t>
            </w:r>
            <w:r>
              <w:rPr>
                <w:rFonts w:ascii="Times New Roman" w:hAnsi="Times New Roman" w:eastAsia="宋体" w:cs="Times New Roman"/>
                <w:color w:val="000000" w:themeColor="text1"/>
                <w:szCs w:val="21"/>
                <w:highlight w:val="none"/>
              </w:rPr>
              <w:t>月</w:t>
            </w:r>
            <w:r>
              <w:rPr>
                <w:rFonts w:hint="eastAsia" w:ascii="Times New Roman" w:hAnsi="Times New Roman" w:eastAsia="宋体" w:cs="Times New Roman"/>
                <w:color w:val="000000" w:themeColor="text1"/>
                <w:szCs w:val="21"/>
                <w:highlight w:val="none"/>
                <w:lang w:val="en-US" w:eastAsia="zh-CN"/>
              </w:rPr>
              <w:t>15</w:t>
            </w:r>
            <w:r>
              <w:rPr>
                <w:rFonts w:hint="eastAsia" w:ascii="Times New Roman" w:hAnsi="Times New Roman" w:eastAsia="宋体" w:cs="Times New Roman"/>
                <w:color w:val="000000" w:themeColor="text1"/>
                <w:szCs w:val="21"/>
                <w:highlight w:val="none"/>
              </w:rPr>
              <w:t xml:space="preserve"> </w:t>
            </w:r>
            <w:r>
              <w:rPr>
                <w:rFonts w:ascii="Times New Roman" w:hAnsi="Times New Roman" w:eastAsia="宋体" w:cs="Times New Roman"/>
                <w:color w:val="000000" w:themeColor="text1"/>
                <w:szCs w:val="21"/>
                <w:highlight w:val="none"/>
              </w:rPr>
              <w:t>日</w:t>
            </w:r>
            <w:r>
              <w:rPr>
                <w:rFonts w:hint="eastAsia" w:ascii="Times New Roman" w:hAnsi="Times New Roman" w:eastAsia="宋体" w:cs="Times New Roman"/>
                <w:color w:val="000000" w:themeColor="text1"/>
                <w:szCs w:val="21"/>
                <w:highlight w:val="none"/>
              </w:rPr>
              <w:t>10</w:t>
            </w:r>
            <w:r>
              <w:rPr>
                <w:rFonts w:ascii="Times New Roman" w:hAnsi="Times New Roman" w:eastAsia="宋体" w:cs="Times New Roman"/>
                <w:color w:val="000000" w:themeColor="text1"/>
                <w:szCs w:val="21"/>
                <w:highlight w:val="none"/>
              </w:rPr>
              <w:t>时</w:t>
            </w:r>
            <w:r>
              <w:rPr>
                <w:rFonts w:hint="eastAsia" w:ascii="Times New Roman" w:hAnsi="Times New Roman" w:eastAsia="宋体" w:cs="Times New Roman"/>
                <w:color w:val="000000" w:themeColor="text1"/>
                <w:szCs w:val="21"/>
                <w:highlight w:val="none"/>
              </w:rPr>
              <w:t>00</w:t>
            </w:r>
            <w:r>
              <w:rPr>
                <w:rFonts w:ascii="Times New Roman" w:hAnsi="Times New Roman" w:eastAsia="宋体" w:cs="Times New Roman"/>
                <w:color w:val="000000" w:themeColor="text1"/>
                <w:szCs w:val="21"/>
                <w:highlight w:val="none"/>
              </w:rPr>
              <w:t>分(北京时间)</w:t>
            </w:r>
          </w:p>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开标地点：</w:t>
            </w:r>
            <w:r>
              <w:rPr>
                <w:rFonts w:cs="KLRFJD+ËÎÌå" w:asciiTheme="minorEastAsia" w:hAnsiTheme="minorEastAsia"/>
                <w:color w:val="000000" w:themeColor="text1"/>
                <w:spacing w:val="-1"/>
                <w:highlight w:val="none"/>
                <w:lang w:val="ru-RU"/>
              </w:rPr>
              <w:t>重庆市江北区五里店五简路2号重庆咨询大厦开标厅（详见A栋一楼指示屏）</w:t>
            </w:r>
            <w:r>
              <w:rPr>
                <w:rFonts w:hint="eastAsia" w:cs="KLRFJD+ËÎÌå" w:asciiTheme="minorEastAsia" w:hAnsiTheme="minorEastAsia"/>
                <w:color w:val="000000" w:themeColor="text1"/>
                <w:spacing w:val="-1"/>
                <w:highlight w:val="none"/>
                <w:lang w:val="ru-RU"/>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1052" w:type="dxa"/>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18.2</w:t>
            </w:r>
          </w:p>
        </w:tc>
        <w:tc>
          <w:tcPr>
            <w:tcW w:w="8817" w:type="dxa"/>
            <w:gridSpan w:val="2"/>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开标会应由招标人或招标代理机构主持。开标程序详见“投标人须知”18.2。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trPr>
        <w:tc>
          <w:tcPr>
            <w:tcW w:w="1052" w:type="dxa"/>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19.1</w:t>
            </w:r>
          </w:p>
        </w:tc>
        <w:tc>
          <w:tcPr>
            <w:tcW w:w="8817" w:type="dxa"/>
            <w:gridSpan w:val="2"/>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评标委员会由招标人依法组建。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1052" w:type="dxa"/>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19.2</w:t>
            </w:r>
          </w:p>
        </w:tc>
        <w:tc>
          <w:tcPr>
            <w:tcW w:w="8817" w:type="dxa"/>
            <w:gridSpan w:val="2"/>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评标方法，详见招标文件第三章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rPr>
        <w:tc>
          <w:tcPr>
            <w:tcW w:w="1052" w:type="dxa"/>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19.4</w:t>
            </w:r>
          </w:p>
        </w:tc>
        <w:tc>
          <w:tcPr>
            <w:tcW w:w="8817" w:type="dxa"/>
            <w:gridSpan w:val="2"/>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评标澄清，详见投标人须知19.4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 w:hRule="atLeast"/>
        </w:trPr>
        <w:tc>
          <w:tcPr>
            <w:tcW w:w="1052" w:type="dxa"/>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19.5</w:t>
            </w:r>
          </w:p>
        </w:tc>
        <w:tc>
          <w:tcPr>
            <w:tcW w:w="8817" w:type="dxa"/>
            <w:gridSpan w:val="2"/>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中标候选人的推荐，详见第三章评标办法相关规定。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869" w:type="dxa"/>
            <w:gridSpan w:val="3"/>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b/>
                <w:color w:val="000000" w:themeColor="text1"/>
                <w:szCs w:val="21"/>
                <w:highlight w:val="none"/>
              </w:rPr>
              <w:t>七、评标结果及定标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052" w:type="dxa"/>
            <w:vAlign w:val="center"/>
          </w:tcPr>
          <w:p>
            <w:pPr>
              <w:rPr>
                <w:rFonts w:ascii="Times New Roman" w:hAnsi="Times New Roman" w:eastAsia="宋体" w:cs="Times New Roman"/>
                <w:b/>
                <w:color w:val="000000" w:themeColor="text1"/>
                <w:szCs w:val="21"/>
                <w:highlight w:val="none"/>
              </w:rPr>
            </w:pPr>
            <w:r>
              <w:rPr>
                <w:rFonts w:hint="eastAsia" w:ascii="Times New Roman" w:hAnsi="Times New Roman" w:eastAsia="宋体" w:cs="Times New Roman"/>
                <w:b/>
                <w:color w:val="000000" w:themeColor="text1"/>
                <w:szCs w:val="21"/>
                <w:highlight w:val="none"/>
              </w:rPr>
              <w:t>20</w:t>
            </w:r>
          </w:p>
        </w:tc>
        <w:tc>
          <w:tcPr>
            <w:tcW w:w="8817" w:type="dxa"/>
            <w:gridSpan w:val="2"/>
            <w:vAlign w:val="center"/>
          </w:tcPr>
          <w:p>
            <w:pP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招标人将在中国招标投标公共服务平台和</w:t>
            </w:r>
            <w:r>
              <w:rPr>
                <w:rFonts w:hint="eastAsia" w:ascii="Calibri"/>
                <w:color w:val="000000" w:themeColor="text1"/>
                <w:spacing w:val="1"/>
                <w:highlight w:val="none"/>
                <w:lang w:val="ru-RU"/>
              </w:rPr>
              <w:t>（www.cqiic.com）</w:t>
            </w:r>
            <w:r>
              <w:rPr>
                <w:rFonts w:hint="eastAsia" w:cs="Times New Roman" w:asciiTheme="minorEastAsia" w:hAnsiTheme="minorEastAsia"/>
                <w:color w:val="000000" w:themeColor="text1"/>
                <w:szCs w:val="21"/>
                <w:highlight w:val="none"/>
              </w:rPr>
              <w:t>上</w:t>
            </w:r>
            <w:r>
              <w:rPr>
                <w:rFonts w:hint="eastAsia" w:ascii="Times New Roman" w:hAnsi="Times New Roman" w:eastAsia="宋体" w:cs="Times New Roman"/>
                <w:color w:val="000000" w:themeColor="text1"/>
                <w:szCs w:val="21"/>
                <w:highlight w:val="none"/>
              </w:rPr>
              <w:t>公示中标候选人，开标后由投标人自行登录网站查询。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vAlign w:val="center"/>
          </w:tcPr>
          <w:p>
            <w:pP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21</w:t>
            </w:r>
          </w:p>
        </w:tc>
        <w:tc>
          <w:tcPr>
            <w:tcW w:w="8817" w:type="dxa"/>
            <w:gridSpan w:val="2"/>
            <w:vAlign w:val="center"/>
          </w:tcPr>
          <w:p>
            <w:pPr>
              <w:widowControl/>
              <w:spacing w:line="340" w:lineRule="exact"/>
              <w:ind w:firstLine="420" w:firstLineChars="200"/>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国有资金占控股或主导地位的依法必须招标的项目，招标人应当确定排名第一的中标候选人为中标人。排名第一的中标候选人放弃中标或因不可抗力不能履行合同或不按照招标文件要求提交履约保证金（如果有）或不按照招标文件要求提交低价履约担保（如果有）或不按照招标文件要求参加相关测试或相关测试未通过（如果有）或未在收到招标人或招标代理机构通知其领取中标通知书的3个工作日内领取中标通知书或被查实存在影响中标结果的违法行为等情形，不符合中标条件的，招标人可以按照以下情况确定中标人或重新招标：</w:t>
            </w:r>
          </w:p>
          <w:p>
            <w:pPr>
              <w:widowControl/>
              <w:spacing w:line="340" w:lineRule="exact"/>
              <w:ind w:firstLine="420" w:firstLineChars="200"/>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（1）如果招标文件中没有相关测试要求的项目：招标人可以按照评标委员会提出的中标候选人名单排序依次确定其他中标候选人为中标人，也可以重新招标。</w:t>
            </w:r>
          </w:p>
          <w:p>
            <w:pPr>
              <w:widowControl/>
              <w:spacing w:line="360" w:lineRule="exact"/>
              <w:ind w:firstLine="420" w:firstLineChars="200"/>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若依次确定其他中标候选人为中标人的，应遵循以下规则：</w:t>
            </w:r>
          </w:p>
          <w:p>
            <w:pPr>
              <w:spacing w:line="360" w:lineRule="exact"/>
              <w:ind w:firstLine="420" w:firstLineChars="200"/>
              <w:contextualSpacing/>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1）第一中标候选人拟成交金额在100万以下的，排名靠后的中标候选人投标总报价不得超过前一名投标总报价的5%；</w:t>
            </w:r>
          </w:p>
          <w:p>
            <w:pPr>
              <w:spacing w:line="360" w:lineRule="exact"/>
              <w:ind w:firstLine="420" w:firstLineChars="200"/>
              <w:contextualSpacing/>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2）第一中标候选人拟成交金额在100万（含）—200万（含）的，排名靠后的中标候选人投标总报价不得超过前一名投标总报价的4%；</w:t>
            </w:r>
          </w:p>
          <w:p>
            <w:pPr>
              <w:spacing w:line="360" w:lineRule="exact"/>
              <w:ind w:firstLine="420" w:firstLineChars="200"/>
              <w:contextualSpacing/>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3）第一中标候选人拟成交金额在200万以上的，排名靠后的中标候选人投标总报价不得超过前一名投标总报价的3%；</w:t>
            </w:r>
          </w:p>
          <w:p>
            <w:pPr>
              <w:spacing w:line="360" w:lineRule="exact"/>
              <w:ind w:firstLine="420" w:firstLineChars="200"/>
              <w:contextualSpacing/>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4）经招标人采购委审批同意的其他情形。</w:t>
            </w:r>
          </w:p>
          <w:p>
            <w:pPr>
              <w:widowControl/>
              <w:spacing w:line="360" w:lineRule="exact"/>
              <w:ind w:firstLine="420" w:firstLineChars="200"/>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不符合上述条件的，应重新组织采购。</w:t>
            </w:r>
          </w:p>
          <w:p>
            <w:pPr>
              <w:widowControl/>
              <w:ind w:firstLine="420" w:firstLineChars="200"/>
              <w:jc w:val="left"/>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（2）如果招标文件中有相关测试要求的项目：</w:t>
            </w:r>
          </w:p>
          <w:p>
            <w:pPr>
              <w:widowControl/>
              <w:ind w:firstLine="420" w:firstLineChars="200"/>
              <w:jc w:val="left"/>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1）参加相关测试：招标人应当确定排名第一的中标候选人为拟中标人，评标结果公示结束后无异议，招标人通知拟中标人按招标文件规定参与相关测试。</w:t>
            </w:r>
          </w:p>
          <w:p>
            <w:pPr>
              <w:widowControl/>
              <w:ind w:firstLine="420" w:firstLineChars="200"/>
              <w:jc w:val="left"/>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2）确定中标人和发出中标通知书：拟中标人按期通过相关测试的，招标人确定其为中标人并向其发出中标通知书。</w:t>
            </w:r>
          </w:p>
          <w:p>
            <w:pPr>
              <w:widowControl/>
              <w:ind w:firstLine="420" w:firstLineChars="200"/>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3）领取中标通知书：中标人在收到招标人或招标代理机构通知其领取中标通知书的3个工作日内领取中标通知书。</w:t>
            </w:r>
          </w:p>
          <w:p>
            <w:pPr>
              <w:widowControl/>
              <w:ind w:firstLine="420" w:firstLineChars="200"/>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4）依序确定中标人或重新招标：</w:t>
            </w:r>
          </w:p>
          <w:p>
            <w:pPr>
              <w:widowControl/>
              <w:ind w:firstLine="420" w:firstLineChars="200"/>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若第一中标候选人能按招标文件要求按期通过相关测试并按时领取中标通知书，同时满足其他签约条件，方可签约。</w:t>
            </w:r>
          </w:p>
          <w:p>
            <w:pPr>
              <w:widowControl/>
              <w:ind w:firstLine="420" w:firstLineChars="200"/>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若第一中标候选人未能按招标文件要求按期通过相关测试或未按时领取中标通知书，则招标人有权选择依序确定中标人或者选择重新招标。</w:t>
            </w:r>
          </w:p>
          <w:p>
            <w:pPr>
              <w:widowControl/>
              <w:ind w:firstLine="420" w:firstLineChars="200"/>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选择依序确定中标人的程序如下：</w:t>
            </w:r>
          </w:p>
          <w:p>
            <w:pPr>
              <w:widowControl/>
              <w:tabs>
                <w:tab w:val="left" w:pos="545"/>
              </w:tabs>
              <w:ind w:firstLine="105" w:firstLineChars="50"/>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A、拟确定第二中标候选人为中标人的：第一中标候选人若未能按招标文件要求参与相关测试或未通过相关测试或未按时领取中标通知书，则取消其中标候选人资格，没收其投标保证金；招标人可以选择确定第二中标候选人为拟中标人或者选择重新招标。（若招标人选择确定第二中标候选人为拟中标人的，应遵循以下规则：</w:t>
            </w:r>
          </w:p>
          <w:p>
            <w:pPr>
              <w:widowControl/>
              <w:tabs>
                <w:tab w:val="left" w:pos="545"/>
              </w:tabs>
              <w:ind w:firstLine="420" w:firstLineChars="200"/>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a.第一中标候选人拟成交金额在100万以下的，第二中标候选人投标总报价不得超过前一名投标总报价的5%；</w:t>
            </w:r>
          </w:p>
          <w:p>
            <w:pPr>
              <w:widowControl/>
              <w:tabs>
                <w:tab w:val="left" w:pos="545"/>
              </w:tabs>
              <w:ind w:firstLine="420" w:firstLineChars="200"/>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b.第一中标候选人拟成交金额在100万（含）—200万（含）的，第二中标候选人投标总报价不得超过前一名投标总报价的4%；</w:t>
            </w:r>
          </w:p>
          <w:p>
            <w:pPr>
              <w:widowControl/>
              <w:tabs>
                <w:tab w:val="left" w:pos="545"/>
              </w:tabs>
              <w:ind w:firstLine="420" w:firstLineChars="200"/>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c.第一中标候选人拟成交金额在200万以上的，第二中标候选人投标总报价不得超过前一名投标总报价的3%；</w:t>
            </w:r>
          </w:p>
          <w:p>
            <w:pPr>
              <w:widowControl/>
              <w:tabs>
                <w:tab w:val="left" w:pos="545"/>
              </w:tabs>
              <w:ind w:firstLine="420" w:firstLineChars="200"/>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d.经招标人采购委审批同意的其他情形。</w:t>
            </w:r>
          </w:p>
          <w:p>
            <w:pPr>
              <w:widowControl/>
              <w:tabs>
                <w:tab w:val="left" w:pos="545"/>
              </w:tabs>
              <w:ind w:firstLine="420" w:firstLineChars="200"/>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不符合上述条件的，应重新组织采购。）</w:t>
            </w:r>
          </w:p>
          <w:p>
            <w:pPr>
              <w:widowControl/>
              <w:ind w:firstLine="420" w:firstLineChars="200"/>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若招标人选择依序确定第二中标候选人为拟中标人，第二中标候选人应按照招标人相关测试通知，遵循招标文件规定参与相关测试；若第二中标候选人按期通过相关测试并按时领取中标通知书，同时满足其他签约条件，方可签约。</w:t>
            </w:r>
          </w:p>
          <w:p>
            <w:pPr>
              <w:widowControl/>
              <w:ind w:firstLine="420" w:firstLineChars="200"/>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若第二中标候选人未能按招标文件要求参与相关测试或未通过相关测试或未按时领取中标通知书，则取消其中标候选人资格，没收其投标保证金；招标人有权选择依序确定第三中标候选人为拟中标人或者选择重新招标。</w:t>
            </w:r>
          </w:p>
          <w:p>
            <w:pPr>
              <w:widowControl/>
              <w:tabs>
                <w:tab w:val="left" w:pos="545"/>
              </w:tabs>
              <w:ind w:firstLine="105" w:firstLineChars="50"/>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B、拟确定第三中标候选人为中标人的：第一、第二中标候选人若皆未能按招标文件要求参与相关测试或未通过相关测试或未按时领取中标通知书，则取消其中标候选人资格，没收其投标保证金；招标人可以选择确定第三中标候选人为拟中标人或者选择重新招标。（若招标人选择确定第三中标候选人为拟中标人的，应遵循以下规则：</w:t>
            </w:r>
          </w:p>
          <w:p>
            <w:pPr>
              <w:widowControl/>
              <w:tabs>
                <w:tab w:val="left" w:pos="545"/>
              </w:tabs>
              <w:ind w:firstLine="420" w:firstLineChars="200"/>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a.第一中标候选人拟成交金额在100万以下的，第三中标候选人投标总报价不得超过前一名投标总报价的5%；</w:t>
            </w:r>
          </w:p>
          <w:p>
            <w:pPr>
              <w:widowControl/>
              <w:tabs>
                <w:tab w:val="left" w:pos="545"/>
              </w:tabs>
              <w:ind w:firstLine="420" w:firstLineChars="200"/>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b.第一中标候选人拟成交金额在100万（含）—200万（含）的，第三中标候选人投标总报价不得超过前一名投标总报价的4%；</w:t>
            </w:r>
          </w:p>
          <w:p>
            <w:pPr>
              <w:widowControl/>
              <w:tabs>
                <w:tab w:val="left" w:pos="545"/>
              </w:tabs>
              <w:ind w:firstLine="420" w:firstLineChars="200"/>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c.第一中标候选人拟成交金额在200万以上的，第三中标候选人投标总报价不得超过前一名投标总报价的3%；</w:t>
            </w:r>
          </w:p>
          <w:p>
            <w:pPr>
              <w:widowControl/>
              <w:tabs>
                <w:tab w:val="left" w:pos="545"/>
              </w:tabs>
              <w:ind w:firstLine="420" w:firstLineChars="200"/>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d.经招标人采购委审批同意的其他情形。</w:t>
            </w:r>
          </w:p>
          <w:p>
            <w:pPr>
              <w:widowControl/>
              <w:ind w:firstLine="420" w:firstLineChars="200"/>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不符合上述条件的，应重新组织采购。）</w:t>
            </w:r>
          </w:p>
          <w:p>
            <w:pPr>
              <w:widowControl/>
              <w:ind w:firstLine="420" w:firstLineChars="200"/>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若招标人选择依序确定第三中标候选人为拟中标人，第三中标候选人应按照招标人相关测试通知，遵循招标文件规定参与相关测试；若第三中标候选人按期通过相关测试并按时领取中标通知书，同时满足其他签约条件，方可签约。</w:t>
            </w:r>
          </w:p>
          <w:p>
            <w:pPr>
              <w:widowControl/>
              <w:ind w:firstLine="420" w:firstLineChars="200"/>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若第三中标候选人未能按招标文件要求参与相关测试或未通过相关测试或未按时领取中标通知书，则取消其中标候选人资格，没收其投标保证金，重新招标。</w:t>
            </w:r>
          </w:p>
          <w:p>
            <w:pPr>
              <w:widowControl/>
              <w:spacing w:line="160" w:lineRule="atLeast"/>
              <w:ind w:firstLine="420" w:firstLineChars="200"/>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注：可以不予退还投标保证金的情形：</w:t>
            </w:r>
          </w:p>
          <w:p>
            <w:pPr>
              <w:widowControl/>
              <w:spacing w:line="160" w:lineRule="atLeast"/>
              <w:ind w:firstLine="420" w:firstLineChars="200"/>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1、</w:t>
            </w:r>
            <w:r>
              <w:rPr>
                <w:rFonts w:hint="eastAsia" w:ascii="Times New Roman" w:hAnsi="Times New Roman" w:eastAsia="宋体" w:cs="Times New Roman"/>
                <w:color w:val="000000" w:themeColor="text1"/>
                <w:szCs w:val="21"/>
                <w:highlight w:val="none"/>
              </w:rPr>
              <w:tab/>
            </w:r>
            <w:r>
              <w:rPr>
                <w:rFonts w:hint="eastAsia" w:ascii="Times New Roman" w:hAnsi="Times New Roman" w:eastAsia="宋体" w:cs="Times New Roman"/>
                <w:color w:val="000000" w:themeColor="text1"/>
                <w:szCs w:val="21"/>
                <w:highlight w:val="none"/>
              </w:rPr>
              <w:t>公示结束后，拟中标人不按招标文件规定参加相关测试（如果有）；</w:t>
            </w:r>
          </w:p>
          <w:p>
            <w:pPr>
              <w:widowControl/>
              <w:spacing w:line="160" w:lineRule="atLeast"/>
              <w:ind w:firstLine="420" w:firstLineChars="200"/>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2、</w:t>
            </w:r>
            <w:r>
              <w:rPr>
                <w:rFonts w:hint="eastAsia" w:ascii="Times New Roman" w:hAnsi="Times New Roman" w:eastAsia="宋体" w:cs="Times New Roman"/>
                <w:color w:val="000000" w:themeColor="text1"/>
                <w:szCs w:val="21"/>
                <w:highlight w:val="none"/>
              </w:rPr>
              <w:tab/>
            </w:r>
            <w:r>
              <w:rPr>
                <w:rFonts w:hint="eastAsia" w:ascii="Times New Roman" w:hAnsi="Times New Roman" w:eastAsia="宋体" w:cs="Times New Roman"/>
                <w:color w:val="000000" w:themeColor="text1"/>
                <w:szCs w:val="21"/>
                <w:highlight w:val="none"/>
              </w:rPr>
              <w:t>拟中标人未能按照招标文件规定通过相关测试（如果有）；</w:t>
            </w:r>
          </w:p>
          <w:p>
            <w:pPr>
              <w:widowControl/>
              <w:spacing w:line="160" w:lineRule="atLeast"/>
              <w:ind w:firstLine="420" w:firstLineChars="200"/>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3、</w:t>
            </w:r>
            <w:r>
              <w:rPr>
                <w:rFonts w:hint="eastAsia" w:ascii="Times New Roman" w:hAnsi="Times New Roman" w:eastAsia="宋体" w:cs="Times New Roman"/>
                <w:color w:val="000000" w:themeColor="text1"/>
                <w:szCs w:val="21"/>
                <w:highlight w:val="none"/>
              </w:rPr>
              <w:tab/>
            </w:r>
            <w:r>
              <w:rPr>
                <w:rFonts w:hint="eastAsia" w:ascii="Times New Roman" w:hAnsi="Times New Roman" w:eastAsia="宋体" w:cs="Times New Roman"/>
                <w:color w:val="000000" w:themeColor="text1"/>
                <w:szCs w:val="21"/>
                <w:highlight w:val="none"/>
              </w:rPr>
              <w:t>中标人收到中标通知书领取通知后，未按照招标人的通知时限领取中标通知书。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69" w:type="dxa"/>
            <w:gridSpan w:val="3"/>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b/>
                <w:color w:val="000000" w:themeColor="text1"/>
                <w:szCs w:val="21"/>
                <w:highlight w:val="none"/>
              </w:rPr>
              <w:t>八、授予合同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3" w:hRule="atLeast"/>
        </w:trPr>
        <w:tc>
          <w:tcPr>
            <w:tcW w:w="1052" w:type="dxa"/>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22.1</w:t>
            </w:r>
          </w:p>
        </w:tc>
        <w:tc>
          <w:tcPr>
            <w:tcW w:w="8817" w:type="dxa"/>
            <w:gridSpan w:val="2"/>
            <w:vAlign w:val="center"/>
          </w:tcPr>
          <w:p>
            <w:pPr>
              <w:ind w:firstLine="480"/>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评标结果公示结束后无异议，招标人应当在确定中标人后5日内发出中标通知书；中标人应在收到招标人或招标代理机构通知其领取中标通知书的3个工作日内领取。中标通知书的发放方式如下：</w:t>
            </w:r>
          </w:p>
          <w:p>
            <w:pPr>
              <w:ind w:firstLine="480"/>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1）无相关测试的项目</w:t>
            </w:r>
          </w:p>
          <w:p>
            <w:pPr>
              <w:ind w:firstLine="480"/>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评标结果公示无异议后，招标代理机构通知招标人确定中标人并于5日内由招标人或招标代理机构向中标人发放中标通知书。</w:t>
            </w:r>
          </w:p>
          <w:p>
            <w:pPr>
              <w:ind w:firstLine="480"/>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2）有相关测试的项目</w:t>
            </w:r>
          </w:p>
          <w:p>
            <w:pPr>
              <w:ind w:firstLine="480"/>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评标结果公示无异议后，招标人按本章21条“定标”之规定进行相关测试并确定中标人，由招标人或招标代理机构向中标人发放中标通知书。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052" w:type="dxa"/>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24.2</w:t>
            </w:r>
          </w:p>
        </w:tc>
        <w:tc>
          <w:tcPr>
            <w:tcW w:w="8817" w:type="dxa"/>
            <w:gridSpan w:val="2"/>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1、履约担保金额：</w:t>
            </w:r>
            <w:r>
              <w:rPr>
                <w:rFonts w:hint="eastAsia" w:ascii="Times New Roman" w:hAnsi="Times New Roman" w:eastAsia="宋体" w:cs="Times New Roman"/>
                <w:color w:val="000000" w:themeColor="text1"/>
                <w:szCs w:val="21"/>
                <w:highlight w:val="none"/>
              </w:rPr>
              <w:t>中标单位投标</w:t>
            </w:r>
            <w:r>
              <w:rPr>
                <w:rFonts w:hint="eastAsia"/>
                <w:color w:val="000000" w:themeColor="text1"/>
                <w:highlight w:val="none"/>
              </w:rPr>
              <w:t>总报价的3%</w:t>
            </w:r>
            <w:r>
              <w:rPr>
                <w:rFonts w:ascii="Times New Roman" w:hAnsi="Times New Roman" w:eastAsia="宋体" w:cs="Times New Roman"/>
                <w:color w:val="000000" w:themeColor="text1"/>
                <w:szCs w:val="21"/>
                <w:highlight w:val="none"/>
              </w:rPr>
              <w:t>；</w:t>
            </w:r>
          </w:p>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2、履约担保方式：银行转账支票、银行汇票；</w:t>
            </w:r>
          </w:p>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3、履约担保提交时间</w:t>
            </w:r>
            <w:r>
              <w:rPr>
                <w:rFonts w:hint="eastAsia" w:ascii="Times New Roman" w:hAnsi="Times New Roman" w:eastAsia="宋体" w:cs="Times New Roman"/>
                <w:color w:val="000000" w:themeColor="text1"/>
                <w:szCs w:val="21"/>
                <w:highlight w:val="none"/>
              </w:rPr>
              <w:t>和账户</w:t>
            </w:r>
            <w:r>
              <w:rPr>
                <w:rFonts w:ascii="Times New Roman" w:hAnsi="Times New Roman" w:eastAsia="宋体" w:cs="Times New Roman"/>
                <w:color w:val="000000" w:themeColor="text1"/>
                <w:szCs w:val="21"/>
                <w:highlight w:val="none"/>
              </w:rPr>
              <w:t>：中标人须收到中标通知书后</w:t>
            </w:r>
            <w:r>
              <w:rPr>
                <w:rFonts w:ascii="Times New Roman" w:hAnsi="Times New Roman" w:eastAsia="宋体" w:cs="Times New Roman"/>
                <w:color w:val="000000" w:themeColor="text1"/>
                <w:szCs w:val="21"/>
                <w:highlight w:val="none"/>
                <w:u w:val="single"/>
              </w:rPr>
              <w:t>10</w:t>
            </w:r>
            <w:r>
              <w:rPr>
                <w:rFonts w:ascii="Times New Roman" w:hAnsi="Times New Roman" w:eastAsia="宋体" w:cs="Times New Roman"/>
                <w:color w:val="000000" w:themeColor="text1"/>
                <w:szCs w:val="21"/>
                <w:highlight w:val="none"/>
              </w:rPr>
              <w:t>日内提交</w:t>
            </w:r>
          </w:p>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w:t>
            </w:r>
            <w:r>
              <w:rPr>
                <w:rFonts w:hint="eastAsia" w:ascii="Times New Roman" w:hAnsi="Times New Roman" w:eastAsia="宋体" w:cs="Times New Roman"/>
                <w:color w:val="000000" w:themeColor="text1"/>
                <w:szCs w:val="21"/>
                <w:highlight w:val="none"/>
              </w:rPr>
              <w:t>户名：重庆银行股份有限公司   账号：020101040017909   开户行：重庆银行总行营业部</w:t>
            </w:r>
            <w:r>
              <w:rPr>
                <w:rFonts w:ascii="Times New Roman" w:hAnsi="Times New Roman" w:eastAsia="宋体" w:cs="Times New Roman"/>
                <w:color w:val="000000" w:themeColor="text1"/>
                <w:szCs w:val="21"/>
                <w:highlight w:val="none"/>
              </w:rPr>
              <w:t>）；</w:t>
            </w:r>
          </w:p>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4、履约保证金退还时间：自采购协议执行期满壹年后，无售后质量问题全额无息退还</w:t>
            </w:r>
            <w:r>
              <w:rPr>
                <w:rFonts w:hint="eastAsia" w:ascii="Times New Roman" w:hAnsi="Times New Roman" w:eastAsia="宋体" w:cs="Times New Roman"/>
                <w:color w:val="000000" w:themeColor="text1"/>
                <w:szCs w:val="21"/>
                <w:highlight w:val="none"/>
              </w:rPr>
              <w:t>；</w:t>
            </w:r>
            <w:r>
              <w:rPr>
                <w:rFonts w:ascii="Times New Roman" w:hAnsi="Times New Roman" w:eastAsia="宋体" w:cs="Times New Roman"/>
                <w:color w:val="000000" w:themeColor="text1"/>
                <w:szCs w:val="21"/>
                <w:highlight w:val="none"/>
              </w:rPr>
              <w:t>如有违约情况，</w:t>
            </w:r>
            <w:r>
              <w:rPr>
                <w:color w:val="000000" w:themeColor="text1"/>
                <w:szCs w:val="21"/>
                <w:highlight w:val="none"/>
              </w:rPr>
              <w:t>仅退还扣除违约金后的余额</w:t>
            </w:r>
            <w:r>
              <w:rPr>
                <w:rFonts w:ascii="Times New Roman" w:hAnsi="Times New Roman" w:eastAsia="宋体" w:cs="Times New Roman"/>
                <w:color w:val="000000" w:themeColor="text1"/>
                <w:szCs w:val="21"/>
                <w:highlight w:val="none"/>
              </w:rPr>
              <w:t>。</w:t>
            </w:r>
          </w:p>
          <w:p>
            <w:pPr>
              <w:rPr>
                <w:rFonts w:ascii="Times New Roman" w:hAnsi="Times New Roman" w:eastAsia="宋体" w:cs="Times New Roman"/>
                <w:color w:val="000000" w:themeColor="text1"/>
                <w:szCs w:val="21"/>
                <w:highlight w:val="none"/>
              </w:rPr>
            </w:pPr>
          </w:p>
          <w:p>
            <w:pPr>
              <w:rPr>
                <w:rFonts w:ascii="Times New Roman" w:hAnsi="Times New Roman" w:eastAsia="宋体" w:cs="Times New Roman"/>
                <w:b/>
                <w:bCs/>
                <w:color w:val="000000" w:themeColor="text1"/>
                <w:sz w:val="22"/>
                <w:highlight w:val="none"/>
              </w:rPr>
            </w:pPr>
            <w:r>
              <w:rPr>
                <w:rFonts w:hint="eastAsia" w:ascii="Times New Roman" w:hAnsi="Times New Roman" w:eastAsia="宋体" w:cs="Times New Roman"/>
                <w:b/>
                <w:bCs/>
                <w:color w:val="000000" w:themeColor="text1"/>
                <w:sz w:val="22"/>
                <w:highlight w:val="none"/>
              </w:rPr>
              <w:t>注：</w:t>
            </w:r>
          </w:p>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扣收履约保证金的适用情形：</w:t>
            </w:r>
          </w:p>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1、未达到技术指标要求的问题卡片比率超过0.1％（包含0.1％），乙方承诺除对问题卡片进行免费更换外，按照问题卡片价值的500%对甲方进行赔偿，赔偿金额从履约保证金扣除。如果乙方提供卡片的质量问题，造成甲方用户投诉等相关严重影响甲方信誉，甲方可以立即终止采购协议另行采购，并扣除乙方全部履约保证金。</w:t>
            </w:r>
          </w:p>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2、乙方需承诺保障客户信息的安全，当客户信息不安全或客户权利受到影响时，甲方有权随时终止外包协议。如违反本协议规定的安全保密要求及保密协议，给甲方以及甲方客户的信息安全造成不良后果或客户权利受到影响，乙方将赔偿甲方及客户的所有损失，包括但不限于甲方经济和声誉损失、甲方客户提出的经济赔偿等。甲方将扣除乙方全部履约保证金，保持追究乙方民事责任的权利，并因此解除本协议。如甲方因此受到第三方法律指控，甲方将拥有追索权，由此造成的甲方所有损失，乙方须向甲方全额赔偿</w:t>
            </w:r>
          </w:p>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3、乙方不能按照协议规定时间交货，应及时通知甲方。如未征得甲方同意，延期10-19日，乙方应按货款的10%向甲方支付违约金，如延期交货期超过20日及以上的，乙方应承担当次订单价格20%的违约金，发生3次以上甲方有权终止本采购协议。如果延期违约金不足以弥补给甲方造成的损失，还应进一步赔偿损失。违约金未超过履约保证金的先从履约保证金扣除。</w:t>
            </w:r>
          </w:p>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4、乙方不能通过交货验收或最终验收，应在10个工作日内整改或免费更换为合格产品，期间发生的费用（如检测费、维修费、退货费、保险费、运输费等）均由乙方承担。如更换或整改后，仍不能通过验收，则甲方有权拒绝接收货物，乙方应承担当次订单价格20%的违约金，从履约保证金扣除，同时采购协议终止。乙方在接到索赔通知后十日内，未做出任何书面答复，乙方将被视为接受索赔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69" w:type="dxa"/>
            <w:gridSpan w:val="3"/>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b/>
                <w:color w:val="000000" w:themeColor="text1"/>
                <w:szCs w:val="21"/>
                <w:highlight w:val="none"/>
              </w:rPr>
              <w:t>九纪律、监督和投诉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052" w:type="dxa"/>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.28</w:t>
            </w:r>
          </w:p>
        </w:tc>
        <w:tc>
          <w:tcPr>
            <w:tcW w:w="8817" w:type="dxa"/>
            <w:gridSpan w:val="2"/>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投诉质疑，按照国家发改委等九部委[2013]23号令修改后的七部委11号令《工程建设项目招标投标活动投诉处理办法》的相关规定处理。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69" w:type="dxa"/>
            <w:gridSpan w:val="3"/>
            <w:vAlign w:val="center"/>
          </w:tcPr>
          <w:p>
            <w:pPr>
              <w:jc w:val="center"/>
              <w:rPr>
                <w:rFonts w:ascii="Times New Roman" w:hAnsi="Times New Roman" w:eastAsia="宋体" w:cs="Times New Roman"/>
                <w:color w:val="000000" w:themeColor="text1"/>
                <w:szCs w:val="21"/>
                <w:highlight w:val="none"/>
              </w:rPr>
            </w:pPr>
            <w:r>
              <w:rPr>
                <w:rFonts w:ascii="Times New Roman" w:hAnsi="Times New Roman" w:eastAsia="宋体" w:cs="Times New Roman"/>
                <w:b/>
                <w:color w:val="000000" w:themeColor="text1"/>
                <w:szCs w:val="21"/>
                <w:highlight w:val="none"/>
              </w:rPr>
              <w:t>十一、招标代理服务费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30.1</w:t>
            </w:r>
          </w:p>
        </w:tc>
        <w:tc>
          <w:tcPr>
            <w:tcW w:w="8817" w:type="dxa"/>
            <w:gridSpan w:val="2"/>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招标代理服务费收费标准：按照</w:t>
            </w:r>
            <w:r>
              <w:rPr>
                <w:rFonts w:hint="eastAsia" w:ascii="Times New Roman" w:hAnsi="Times New Roman" w:eastAsia="宋体" w:cs="Times New Roman"/>
                <w:color w:val="000000" w:themeColor="text1"/>
                <w:szCs w:val="21"/>
                <w:highlight w:val="none"/>
              </w:rPr>
              <w:t>以下</w:t>
            </w:r>
            <w:r>
              <w:rPr>
                <w:rFonts w:ascii="Times New Roman" w:hAnsi="Times New Roman" w:eastAsia="宋体" w:cs="Times New Roman"/>
                <w:color w:val="000000" w:themeColor="text1"/>
                <w:szCs w:val="21"/>
                <w:highlight w:val="none"/>
              </w:rPr>
              <w:t>“货物招标”所列费率执行，以中标</w:t>
            </w:r>
            <w:r>
              <w:rPr>
                <w:rFonts w:hint="eastAsia" w:ascii="Times New Roman" w:hAnsi="Times New Roman" w:eastAsia="宋体" w:cs="Times New Roman"/>
                <w:color w:val="000000" w:themeColor="text1"/>
                <w:szCs w:val="21"/>
                <w:highlight w:val="none"/>
              </w:rPr>
              <w:t>的投标总报</w:t>
            </w:r>
            <w:r>
              <w:rPr>
                <w:rFonts w:ascii="Times New Roman" w:hAnsi="Times New Roman" w:eastAsia="宋体" w:cs="Times New Roman"/>
                <w:color w:val="000000" w:themeColor="text1"/>
                <w:szCs w:val="21"/>
                <w:highlight w:val="none"/>
              </w:rPr>
              <w:t>价为计费基数</w:t>
            </w:r>
            <w:r>
              <w:rPr>
                <w:rFonts w:hint="eastAsia" w:ascii="Times New Roman" w:hAnsi="Times New Roman" w:eastAsia="宋体" w:cs="Times New Roman"/>
                <w:color w:val="000000" w:themeColor="text1"/>
                <w:szCs w:val="21"/>
                <w:highlight w:val="none"/>
              </w:rPr>
              <w:t>计算（不足1.5万元的按1.5万元计取）</w:t>
            </w:r>
            <w:r>
              <w:rPr>
                <w:rFonts w:ascii="Times New Roman" w:hAnsi="Times New Roman" w:eastAsia="宋体" w:cs="Times New Roman"/>
                <w:color w:val="000000" w:themeColor="text1"/>
                <w:szCs w:val="21"/>
                <w:highlight w:val="none"/>
              </w:rPr>
              <w:t>，向招标机构缴纳招标代理服务费。</w:t>
            </w:r>
          </w:p>
          <w:p>
            <w:pPr>
              <w:spacing w:line="360" w:lineRule="auto"/>
              <w:jc w:val="cente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招标代理服务费收费标准</w:t>
            </w:r>
          </w:p>
          <w:tbl>
            <w:tblPr>
              <w:tblStyle w:val="55"/>
              <w:tblW w:w="6583" w:type="dxa"/>
              <w:jc w:val="center"/>
              <w:tblInd w:w="0" w:type="dxa"/>
              <w:tblLayout w:type="fixed"/>
              <w:tblCellMar>
                <w:top w:w="0" w:type="dxa"/>
                <w:left w:w="108" w:type="dxa"/>
                <w:bottom w:w="0" w:type="dxa"/>
                <w:right w:w="108" w:type="dxa"/>
              </w:tblCellMar>
            </w:tblPr>
            <w:tblGrid>
              <w:gridCol w:w="3503"/>
              <w:gridCol w:w="3080"/>
            </w:tblGrid>
            <w:tr>
              <w:tblPrEx>
                <w:tblLayout w:type="fixed"/>
                <w:tblCellMar>
                  <w:top w:w="0" w:type="dxa"/>
                  <w:left w:w="108" w:type="dxa"/>
                  <w:bottom w:w="0" w:type="dxa"/>
                  <w:right w:w="108" w:type="dxa"/>
                </w:tblCellMar>
              </w:tblPrEx>
              <w:trPr>
                <w:trHeight w:val="340" w:hRule="atLeast"/>
                <w:jc w:val="center"/>
              </w:trPr>
              <w:tc>
                <w:tcPr>
                  <w:tcW w:w="3503"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中标金额</w:t>
                  </w:r>
                </w:p>
              </w:tc>
              <w:tc>
                <w:tcPr>
                  <w:tcW w:w="3080" w:type="dxa"/>
                  <w:tcBorders>
                    <w:top w:val="single" w:color="000000" w:sz="4" w:space="0"/>
                    <w:left w:val="nil"/>
                    <w:bottom w:val="single" w:color="000000" w:sz="4" w:space="0"/>
                    <w:right w:val="single" w:color="000000" w:sz="4" w:space="0"/>
                  </w:tcBorders>
                  <w:vAlign w:val="center"/>
                </w:tcPr>
                <w:p>
                  <w:pPr>
                    <w:snapToGrid w:val="0"/>
                    <w:spacing w:line="400" w:lineRule="exact"/>
                    <w:ind w:right="315"/>
                    <w:jc w:val="center"/>
                    <w:rPr>
                      <w:rFonts w:ascii="Times New Roman" w:hAnsi="Times New Roman" w:eastAsia="宋体" w:cs="Times New Roman"/>
                      <w:bCs/>
                      <w:color w:val="000000" w:themeColor="text1"/>
                      <w:szCs w:val="21"/>
                      <w:highlight w:val="none"/>
                    </w:rPr>
                  </w:pPr>
                  <w:r>
                    <w:rPr>
                      <w:rFonts w:hint="eastAsia" w:ascii="Times New Roman" w:hAnsi="Times New Roman" w:eastAsia="宋体" w:cs="Times New Roman"/>
                      <w:color w:val="000000" w:themeColor="text1"/>
                      <w:szCs w:val="21"/>
                      <w:highlight w:val="none"/>
                    </w:rPr>
                    <w:t xml:space="preserve">   </w:t>
                  </w:r>
                  <w:r>
                    <w:rPr>
                      <w:rFonts w:ascii="Times New Roman" w:hAnsi="Times New Roman" w:eastAsia="宋体" w:cs="Times New Roman"/>
                      <w:color w:val="000000" w:themeColor="text1"/>
                      <w:szCs w:val="21"/>
                      <w:highlight w:val="none"/>
                    </w:rPr>
                    <w:t>招标类型</w:t>
                  </w:r>
                </w:p>
              </w:tc>
            </w:tr>
            <w:tr>
              <w:tblPrEx>
                <w:tblLayout w:type="fixed"/>
                <w:tblCellMar>
                  <w:top w:w="0" w:type="dxa"/>
                  <w:left w:w="108" w:type="dxa"/>
                  <w:bottom w:w="0" w:type="dxa"/>
                  <w:right w:w="108" w:type="dxa"/>
                </w:tblCellMar>
              </w:tblPrEx>
              <w:trPr>
                <w:trHeight w:val="360" w:hRule="atLeast"/>
                <w:jc w:val="center"/>
              </w:trPr>
              <w:tc>
                <w:tcPr>
                  <w:tcW w:w="3503"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（万元）</w:t>
                  </w:r>
                </w:p>
              </w:tc>
              <w:tc>
                <w:tcPr>
                  <w:tcW w:w="308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Times New Roman" w:hAnsi="Times New Roman" w:eastAsia="宋体" w:cs="Times New Roman"/>
                      <w:bCs/>
                      <w:color w:val="000000" w:themeColor="text1"/>
                      <w:szCs w:val="21"/>
                      <w:highlight w:val="none"/>
                    </w:rPr>
                  </w:pPr>
                  <w:r>
                    <w:rPr>
                      <w:rFonts w:ascii="Times New Roman" w:hAnsi="Times New Roman" w:eastAsia="宋体" w:cs="Times New Roman"/>
                      <w:color w:val="000000" w:themeColor="text1"/>
                      <w:szCs w:val="21"/>
                      <w:highlight w:val="none"/>
                    </w:rPr>
                    <w:t>货物招标</w:t>
                  </w:r>
                </w:p>
              </w:tc>
            </w:tr>
            <w:tr>
              <w:tblPrEx>
                <w:tblLayout w:type="fixed"/>
                <w:tblCellMar>
                  <w:top w:w="0" w:type="dxa"/>
                  <w:left w:w="108" w:type="dxa"/>
                  <w:bottom w:w="0" w:type="dxa"/>
                  <w:right w:w="108" w:type="dxa"/>
                </w:tblCellMar>
              </w:tblPrEx>
              <w:trPr>
                <w:trHeight w:val="454" w:hRule="atLeast"/>
                <w:jc w:val="center"/>
              </w:trPr>
              <w:tc>
                <w:tcPr>
                  <w:tcW w:w="3503"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100以下</w:t>
                  </w:r>
                </w:p>
              </w:tc>
              <w:tc>
                <w:tcPr>
                  <w:tcW w:w="308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1.5%</w:t>
                  </w:r>
                </w:p>
              </w:tc>
            </w:tr>
            <w:tr>
              <w:tblPrEx>
                <w:tblLayout w:type="fixed"/>
                <w:tblCellMar>
                  <w:top w:w="0" w:type="dxa"/>
                  <w:left w:w="108" w:type="dxa"/>
                  <w:bottom w:w="0" w:type="dxa"/>
                  <w:right w:w="108" w:type="dxa"/>
                </w:tblCellMar>
              </w:tblPrEx>
              <w:trPr>
                <w:trHeight w:val="454" w:hRule="atLeast"/>
                <w:jc w:val="center"/>
              </w:trPr>
              <w:tc>
                <w:tcPr>
                  <w:tcW w:w="3503"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100-500</w:t>
                  </w:r>
                </w:p>
              </w:tc>
              <w:tc>
                <w:tcPr>
                  <w:tcW w:w="308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1.1%*</w:t>
                  </w:r>
                  <w:r>
                    <w:rPr>
                      <w:rFonts w:hint="eastAsia" w:ascii="Times New Roman" w:hAnsi="Times New Roman" w:eastAsia="宋体" w:cs="Times New Roman"/>
                      <w:color w:val="000000" w:themeColor="text1"/>
                      <w:szCs w:val="21"/>
                      <w:highlight w:val="none"/>
                    </w:rPr>
                    <w:t>80</w:t>
                  </w:r>
                  <w:r>
                    <w:rPr>
                      <w:rFonts w:ascii="Times New Roman" w:hAnsi="Times New Roman" w:eastAsia="宋体" w:cs="Times New Roman"/>
                      <w:color w:val="000000" w:themeColor="text1"/>
                      <w:szCs w:val="21"/>
                      <w:highlight w:val="none"/>
                    </w:rPr>
                    <w:t>%</w:t>
                  </w:r>
                </w:p>
              </w:tc>
            </w:tr>
            <w:tr>
              <w:tblPrEx>
                <w:tblLayout w:type="fixed"/>
                <w:tblCellMar>
                  <w:top w:w="0" w:type="dxa"/>
                  <w:left w:w="108" w:type="dxa"/>
                  <w:bottom w:w="0" w:type="dxa"/>
                  <w:right w:w="108" w:type="dxa"/>
                </w:tblCellMar>
              </w:tblPrEx>
              <w:trPr>
                <w:trHeight w:val="454" w:hRule="atLeast"/>
                <w:jc w:val="center"/>
              </w:trPr>
              <w:tc>
                <w:tcPr>
                  <w:tcW w:w="3503"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500-1000</w:t>
                  </w:r>
                </w:p>
              </w:tc>
              <w:tc>
                <w:tcPr>
                  <w:tcW w:w="308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0.8%*</w:t>
                  </w:r>
                  <w:r>
                    <w:rPr>
                      <w:rFonts w:hint="eastAsia" w:ascii="Times New Roman" w:hAnsi="Times New Roman" w:eastAsia="宋体" w:cs="Times New Roman"/>
                      <w:color w:val="000000" w:themeColor="text1"/>
                      <w:szCs w:val="21"/>
                      <w:highlight w:val="none"/>
                    </w:rPr>
                    <w:t>80</w:t>
                  </w:r>
                  <w:r>
                    <w:rPr>
                      <w:rFonts w:ascii="Times New Roman" w:hAnsi="Times New Roman" w:eastAsia="宋体" w:cs="Times New Roman"/>
                      <w:color w:val="000000" w:themeColor="text1"/>
                      <w:szCs w:val="21"/>
                      <w:highlight w:val="none"/>
                    </w:rPr>
                    <w:t>%</w:t>
                  </w:r>
                </w:p>
              </w:tc>
            </w:tr>
            <w:tr>
              <w:tblPrEx>
                <w:tblLayout w:type="fixed"/>
                <w:tblCellMar>
                  <w:top w:w="0" w:type="dxa"/>
                  <w:left w:w="108" w:type="dxa"/>
                  <w:bottom w:w="0" w:type="dxa"/>
                  <w:right w:w="108" w:type="dxa"/>
                </w:tblCellMar>
              </w:tblPrEx>
              <w:trPr>
                <w:trHeight w:val="454" w:hRule="atLeast"/>
                <w:jc w:val="center"/>
              </w:trPr>
              <w:tc>
                <w:tcPr>
                  <w:tcW w:w="3503"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cr/>
                  </w:r>
                  <w:r>
                    <w:rPr>
                      <w:rFonts w:ascii="Times New Roman" w:hAnsi="Times New Roman" w:eastAsia="宋体" w:cs="Times New Roman"/>
                      <w:color w:val="000000" w:themeColor="text1"/>
                      <w:szCs w:val="21"/>
                      <w:highlight w:val="none"/>
                    </w:rPr>
                    <w:t>1000-500</w:t>
                  </w:r>
                  <w:r>
                    <w:rPr>
                      <w:rFonts w:hint="eastAsia" w:ascii="Times New Roman" w:hAnsi="Times New Roman" w:eastAsia="宋体" w:cs="Times New Roman"/>
                      <w:color w:val="000000" w:themeColor="text1"/>
                      <w:szCs w:val="21"/>
                      <w:highlight w:val="none"/>
                    </w:rPr>
                    <w:t>0</w:t>
                  </w:r>
                </w:p>
              </w:tc>
              <w:tc>
                <w:tcPr>
                  <w:tcW w:w="308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0.5%*</w:t>
                  </w:r>
                  <w:r>
                    <w:rPr>
                      <w:rFonts w:hint="eastAsia" w:ascii="Times New Roman" w:hAnsi="Times New Roman" w:eastAsia="宋体" w:cs="Times New Roman"/>
                      <w:color w:val="000000" w:themeColor="text1"/>
                      <w:szCs w:val="21"/>
                      <w:highlight w:val="none"/>
                    </w:rPr>
                    <w:t>80</w:t>
                  </w:r>
                  <w:r>
                    <w:rPr>
                      <w:rFonts w:ascii="Times New Roman" w:hAnsi="Times New Roman" w:eastAsia="宋体" w:cs="Times New Roman"/>
                      <w:color w:val="000000" w:themeColor="text1"/>
                      <w:szCs w:val="21"/>
                      <w:highlight w:val="none"/>
                    </w:rPr>
                    <w:t>%</w:t>
                  </w:r>
                </w:p>
              </w:tc>
            </w:tr>
          </w:tbl>
          <w:p>
            <w:pPr>
              <w:tabs>
                <w:tab w:val="left" w:pos="1050"/>
                <w:tab w:val="left" w:pos="1470"/>
              </w:tabs>
              <w:adjustRightInd w:val="0"/>
              <w:snapToGrid w:val="0"/>
              <w:spacing w:line="400" w:lineRule="atLeast"/>
              <w:ind w:firstLine="420" w:firstLineChars="200"/>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1、招标代理服务费支付：按招标文件约定，由中标人支付。</w:t>
            </w:r>
          </w:p>
          <w:p>
            <w:pPr>
              <w:ind w:firstLine="420" w:firstLineChars="200"/>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2、招标代理服务费支付时间：中标人在领取中标通知书时，向</w:t>
            </w:r>
            <w:r>
              <w:rPr>
                <w:rFonts w:hint="eastAsia" w:ascii="Times New Roman" w:hAnsi="Times New Roman" w:eastAsia="宋体" w:cs="Times New Roman"/>
                <w:color w:val="000000" w:themeColor="text1"/>
                <w:szCs w:val="21"/>
                <w:highlight w:val="none"/>
              </w:rPr>
              <w:t>代理</w:t>
            </w:r>
            <w:r>
              <w:rPr>
                <w:rFonts w:ascii="Times New Roman" w:hAnsi="Times New Roman" w:eastAsia="宋体" w:cs="Times New Roman"/>
                <w:color w:val="000000" w:themeColor="text1"/>
                <w:szCs w:val="21"/>
                <w:highlight w:val="none"/>
              </w:rPr>
              <w:t>机构一次性支付招标代理服务费。</w:t>
            </w:r>
          </w:p>
          <w:p>
            <w:pPr>
              <w:ind w:firstLine="420" w:firstLineChars="200"/>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注:招标代理费收费按差额定率累进法计算。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7" w:hRule="atLeast"/>
        </w:trPr>
        <w:tc>
          <w:tcPr>
            <w:tcW w:w="1052" w:type="dxa"/>
            <w:vAlign w:val="center"/>
          </w:tcPr>
          <w:p>
            <w:pP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31</w:t>
            </w:r>
          </w:p>
        </w:tc>
        <w:tc>
          <w:tcPr>
            <w:tcW w:w="8817" w:type="dxa"/>
            <w:gridSpan w:val="2"/>
            <w:vAlign w:val="center"/>
          </w:tcPr>
          <w:p>
            <w:pPr>
              <w:ind w:firstLine="420" w:firstLineChars="200"/>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招标文件每套售价500元（递交投标文件时支付招标文件的费用），售后不退。未购买招标文件的投标人，招标人和代理机构将不予接受其投标文件。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8" w:hRule="atLeast"/>
        </w:trPr>
        <w:tc>
          <w:tcPr>
            <w:tcW w:w="9869" w:type="dxa"/>
            <w:gridSpan w:val="3"/>
            <w:vAlign w:val="center"/>
          </w:tcPr>
          <w:p>
            <w:pPr>
              <w:ind w:firstLine="361"/>
              <w:rPr>
                <w:rFonts w:ascii="Times New Roman" w:hAnsi="Times New Roman" w:eastAsia="宋体" w:cs="Times New Roman"/>
                <w:color w:val="000000" w:themeColor="text1"/>
                <w:szCs w:val="21"/>
                <w:highlight w:val="none"/>
              </w:rPr>
            </w:pPr>
            <w:r>
              <w:rPr>
                <w:rFonts w:ascii="Times New Roman" w:hAnsi="Times New Roman" w:eastAsia="宋体" w:cs="Times New Roman"/>
                <w:b/>
                <w:color w:val="000000" w:themeColor="text1"/>
                <w:szCs w:val="21"/>
                <w:highlight w:val="none"/>
              </w:rPr>
              <w:t>十二、其他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0" w:hRule="atLeast"/>
        </w:trPr>
        <w:tc>
          <w:tcPr>
            <w:tcW w:w="1052" w:type="dxa"/>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3</w:t>
            </w:r>
            <w:r>
              <w:rPr>
                <w:rFonts w:hint="eastAsia" w:ascii="Times New Roman" w:hAnsi="Times New Roman" w:eastAsia="宋体" w:cs="Times New Roman"/>
                <w:color w:val="000000" w:themeColor="text1"/>
                <w:szCs w:val="21"/>
                <w:highlight w:val="none"/>
              </w:rPr>
              <w:t>2</w:t>
            </w:r>
          </w:p>
        </w:tc>
        <w:tc>
          <w:tcPr>
            <w:tcW w:w="8817" w:type="dxa"/>
            <w:gridSpan w:val="2"/>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b/>
                <w:color w:val="000000" w:themeColor="text1"/>
                <w:szCs w:val="21"/>
                <w:highlight w:val="none"/>
              </w:rPr>
              <w:t>开标</w:t>
            </w:r>
            <w:r>
              <w:rPr>
                <w:rFonts w:hint="eastAsia" w:ascii="Times New Roman" w:hAnsi="Times New Roman" w:eastAsia="宋体" w:cs="Times New Roman"/>
                <w:b/>
                <w:color w:val="000000" w:themeColor="text1"/>
                <w:szCs w:val="21"/>
                <w:highlight w:val="none"/>
              </w:rPr>
              <w:t>评标过程</w:t>
            </w:r>
            <w:r>
              <w:rPr>
                <w:rFonts w:ascii="Times New Roman" w:hAnsi="Times New Roman" w:eastAsia="宋体" w:cs="Times New Roman"/>
                <w:b/>
                <w:color w:val="000000" w:themeColor="text1"/>
                <w:szCs w:val="21"/>
                <w:highlight w:val="none"/>
              </w:rPr>
              <w:t>，请投标人携带</w:t>
            </w:r>
            <w:r>
              <w:rPr>
                <w:rFonts w:hint="eastAsia" w:ascii="Times New Roman" w:hAnsi="Times New Roman" w:eastAsia="宋体" w:cs="Times New Roman"/>
                <w:b/>
                <w:color w:val="000000" w:themeColor="text1"/>
                <w:szCs w:val="21"/>
                <w:highlight w:val="none"/>
              </w:rPr>
              <w:t>招标</w:t>
            </w:r>
            <w:r>
              <w:rPr>
                <w:rFonts w:ascii="Times New Roman" w:hAnsi="Times New Roman" w:eastAsia="宋体" w:cs="Times New Roman"/>
                <w:b/>
                <w:color w:val="000000" w:themeColor="text1"/>
                <w:szCs w:val="21"/>
                <w:highlight w:val="none"/>
              </w:rPr>
              <w:t>文件中</w:t>
            </w:r>
            <w:r>
              <w:rPr>
                <w:rFonts w:hint="eastAsia" w:ascii="Times New Roman" w:hAnsi="Times New Roman" w:eastAsia="宋体" w:cs="Times New Roman"/>
                <w:b/>
                <w:color w:val="000000" w:themeColor="text1"/>
                <w:szCs w:val="21"/>
                <w:highlight w:val="none"/>
              </w:rPr>
              <w:t>所要求的</w:t>
            </w:r>
            <w:r>
              <w:rPr>
                <w:rFonts w:ascii="Times New Roman" w:hAnsi="Times New Roman" w:eastAsia="宋体" w:cs="Times New Roman"/>
                <w:b/>
                <w:color w:val="000000" w:themeColor="text1"/>
                <w:szCs w:val="21"/>
                <w:highlight w:val="none"/>
              </w:rPr>
              <w:t>各项证明资料</w:t>
            </w:r>
            <w:r>
              <w:rPr>
                <w:rFonts w:hint="eastAsia" w:ascii="Times New Roman" w:hAnsi="Times New Roman" w:eastAsia="宋体" w:cs="Times New Roman"/>
                <w:b/>
                <w:color w:val="000000" w:themeColor="text1"/>
                <w:szCs w:val="21"/>
                <w:highlight w:val="none"/>
              </w:rPr>
              <w:t>的</w:t>
            </w:r>
            <w:r>
              <w:rPr>
                <w:rFonts w:ascii="Times New Roman" w:hAnsi="Times New Roman" w:eastAsia="宋体" w:cs="Times New Roman"/>
                <w:b/>
                <w:color w:val="000000" w:themeColor="text1"/>
                <w:szCs w:val="21"/>
                <w:highlight w:val="none"/>
              </w:rPr>
              <w:t>原件，以备查验。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1052" w:type="dxa"/>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3</w:t>
            </w:r>
            <w:r>
              <w:rPr>
                <w:rFonts w:hint="eastAsia" w:ascii="Times New Roman" w:hAnsi="Times New Roman" w:eastAsia="宋体" w:cs="Times New Roman"/>
                <w:color w:val="000000" w:themeColor="text1"/>
                <w:szCs w:val="21"/>
                <w:highlight w:val="none"/>
              </w:rPr>
              <w:t>3</w:t>
            </w:r>
          </w:p>
        </w:tc>
        <w:tc>
          <w:tcPr>
            <w:tcW w:w="8817" w:type="dxa"/>
            <w:gridSpan w:val="2"/>
            <w:vAlign w:val="center"/>
          </w:tcPr>
          <w:p>
            <w:pPr>
              <w:rPr>
                <w:rFonts w:ascii="Times New Roman" w:hAnsi="Times New Roman" w:eastAsia="宋体" w:cs="Times New Roman"/>
                <w:b/>
                <w:color w:val="000000" w:themeColor="text1"/>
                <w:szCs w:val="21"/>
                <w:highlight w:val="none"/>
              </w:rPr>
            </w:pPr>
            <w:r>
              <w:rPr>
                <w:rFonts w:ascii="Times New Roman" w:hAnsi="Times New Roman" w:eastAsia="宋体" w:cs="Times New Roman"/>
                <w:b/>
                <w:color w:val="000000" w:themeColor="text1"/>
                <w:szCs w:val="21"/>
                <w:highlight w:val="none"/>
              </w:rPr>
              <w:t>投标人应保证投标文件中的相关证明资料清晰可辨，否则由此引起的后果由投标人自负。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6" w:hRule="atLeast"/>
        </w:trPr>
        <w:tc>
          <w:tcPr>
            <w:tcW w:w="1052" w:type="dxa"/>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3</w:t>
            </w:r>
            <w:r>
              <w:rPr>
                <w:rFonts w:hint="eastAsia" w:ascii="Times New Roman" w:hAnsi="Times New Roman" w:eastAsia="宋体" w:cs="Times New Roman"/>
                <w:color w:val="000000" w:themeColor="text1"/>
                <w:szCs w:val="21"/>
                <w:highlight w:val="none"/>
              </w:rPr>
              <w:t>4</w:t>
            </w:r>
          </w:p>
        </w:tc>
        <w:tc>
          <w:tcPr>
            <w:tcW w:w="8817" w:type="dxa"/>
            <w:gridSpan w:val="2"/>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本招标文件中提及产品品牌（如有），均为供投标人投标参考，非指定产品品牌。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6" w:hRule="atLeast"/>
        </w:trPr>
        <w:tc>
          <w:tcPr>
            <w:tcW w:w="1052" w:type="dxa"/>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3</w:t>
            </w:r>
            <w:r>
              <w:rPr>
                <w:rFonts w:hint="eastAsia" w:ascii="Times New Roman" w:hAnsi="Times New Roman" w:eastAsia="宋体" w:cs="Times New Roman"/>
                <w:color w:val="000000" w:themeColor="text1"/>
                <w:szCs w:val="21"/>
                <w:highlight w:val="none"/>
              </w:rPr>
              <w:t>5</w:t>
            </w:r>
          </w:p>
        </w:tc>
        <w:tc>
          <w:tcPr>
            <w:tcW w:w="8817" w:type="dxa"/>
            <w:gridSpan w:val="2"/>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第五章项目需求里出现的</w:t>
            </w:r>
            <w:r>
              <w:rPr>
                <w:rFonts w:hint="eastAsia" w:ascii="Times New Roman" w:hAnsi="Times New Roman" w:eastAsia="宋体" w:cs="Times New Roman"/>
                <w:color w:val="000000" w:themeColor="text1"/>
                <w:szCs w:val="21"/>
                <w:highlight w:val="none"/>
              </w:rPr>
              <w:t>“供应商”、</w:t>
            </w:r>
            <w:r>
              <w:rPr>
                <w:rFonts w:ascii="Times New Roman" w:hAnsi="Times New Roman" w:eastAsia="宋体" w:cs="Times New Roman"/>
                <w:color w:val="000000" w:themeColor="text1"/>
                <w:szCs w:val="21"/>
                <w:highlight w:val="none"/>
              </w:rPr>
              <w:t>“外包商”</w:t>
            </w:r>
            <w:r>
              <w:rPr>
                <w:rFonts w:hint="eastAsia" w:ascii="Times New Roman" w:hAnsi="Times New Roman" w:eastAsia="宋体" w:cs="Times New Roman"/>
                <w:color w:val="000000" w:themeColor="text1"/>
                <w:szCs w:val="21"/>
                <w:highlight w:val="none"/>
              </w:rPr>
              <w:t>、</w:t>
            </w:r>
            <w:r>
              <w:rPr>
                <w:rFonts w:ascii="Times New Roman" w:hAnsi="Times New Roman" w:eastAsia="宋体" w:cs="Times New Roman"/>
                <w:color w:val="000000" w:themeColor="text1"/>
                <w:szCs w:val="21"/>
                <w:highlight w:val="none"/>
              </w:rPr>
              <w:t>“外包投标人”</w:t>
            </w:r>
            <w:r>
              <w:rPr>
                <w:rFonts w:hint="eastAsia" w:ascii="Times New Roman" w:hAnsi="Times New Roman" w:eastAsia="宋体" w:cs="Times New Roman"/>
                <w:color w:val="000000" w:themeColor="text1"/>
                <w:szCs w:val="21"/>
                <w:highlight w:val="none"/>
              </w:rPr>
              <w:t>、</w:t>
            </w:r>
            <w:r>
              <w:rPr>
                <w:rFonts w:ascii="Times New Roman" w:hAnsi="Times New Roman" w:eastAsia="宋体" w:cs="Times New Roman"/>
                <w:color w:val="000000" w:themeColor="text1"/>
                <w:szCs w:val="21"/>
                <w:highlight w:val="none"/>
              </w:rPr>
              <w:t>“乙方”</w:t>
            </w:r>
            <w:r>
              <w:rPr>
                <w:rFonts w:hint="eastAsia" w:ascii="Times New Roman" w:hAnsi="Times New Roman" w:eastAsia="宋体" w:cs="Times New Roman"/>
                <w:color w:val="000000" w:themeColor="text1"/>
                <w:szCs w:val="21"/>
                <w:highlight w:val="none"/>
              </w:rPr>
              <w:t>，</w:t>
            </w:r>
            <w:r>
              <w:rPr>
                <w:rFonts w:ascii="Times New Roman" w:hAnsi="Times New Roman" w:eastAsia="宋体" w:cs="Times New Roman"/>
                <w:color w:val="000000" w:themeColor="text1"/>
                <w:szCs w:val="21"/>
                <w:highlight w:val="none"/>
              </w:rPr>
              <w:t>在招标阶段均表示“投标人”。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6" w:hRule="atLeast"/>
        </w:trPr>
        <w:tc>
          <w:tcPr>
            <w:tcW w:w="1052" w:type="dxa"/>
            <w:vAlign w:val="center"/>
          </w:tcPr>
          <w:p>
            <w:pP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36</w:t>
            </w:r>
          </w:p>
        </w:tc>
        <w:tc>
          <w:tcPr>
            <w:tcW w:w="8817" w:type="dxa"/>
            <w:gridSpan w:val="2"/>
            <w:vAlign w:val="center"/>
          </w:tcPr>
          <w:p>
            <w:pPr>
              <w:rPr>
                <w:rFonts w:ascii="Times New Roman" w:hAnsi="Times New Roman" w:eastAsia="宋体" w:cs="Times New Roman"/>
                <w:b/>
                <w:color w:val="000000" w:themeColor="text1"/>
                <w:szCs w:val="21"/>
                <w:highlight w:val="none"/>
              </w:rPr>
            </w:pPr>
            <w:r>
              <w:rPr>
                <w:rFonts w:hint="eastAsia" w:ascii="Times New Roman" w:hAnsi="Times New Roman" w:eastAsia="宋体" w:cs="Times New Roman"/>
                <w:b/>
                <w:color w:val="000000" w:themeColor="text1"/>
                <w:szCs w:val="21"/>
                <w:highlight w:val="none"/>
              </w:rPr>
              <w:t>本招标文件中要求加盖单位公章的表述，均指加盖该单位的法定名称章（非投标专用章等）且为鲜公章。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9869" w:type="dxa"/>
            <w:gridSpan w:val="3"/>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若</w:t>
            </w:r>
            <w:r>
              <w:rPr>
                <w:rFonts w:hint="eastAsia" w:ascii="Times New Roman" w:hAnsi="Times New Roman" w:eastAsia="宋体" w:cs="Times New Roman"/>
                <w:color w:val="000000" w:themeColor="text1"/>
                <w:szCs w:val="21"/>
                <w:highlight w:val="none"/>
              </w:rPr>
              <w:t>《</w:t>
            </w:r>
            <w:r>
              <w:rPr>
                <w:rFonts w:ascii="Times New Roman" w:hAnsi="Times New Roman" w:eastAsia="宋体" w:cs="Times New Roman"/>
                <w:color w:val="000000" w:themeColor="text1"/>
                <w:szCs w:val="21"/>
                <w:highlight w:val="none"/>
              </w:rPr>
              <w:t>投标人须知前附表</w:t>
            </w:r>
            <w:r>
              <w:rPr>
                <w:rFonts w:hint="eastAsia" w:ascii="Times New Roman" w:hAnsi="Times New Roman" w:eastAsia="宋体" w:cs="Times New Roman"/>
                <w:color w:val="000000" w:themeColor="text1"/>
                <w:szCs w:val="21"/>
                <w:highlight w:val="none"/>
              </w:rPr>
              <w:t>》</w:t>
            </w:r>
            <w:r>
              <w:rPr>
                <w:rFonts w:ascii="Times New Roman" w:hAnsi="Times New Roman" w:eastAsia="宋体" w:cs="Times New Roman"/>
                <w:color w:val="000000" w:themeColor="text1"/>
                <w:szCs w:val="21"/>
                <w:highlight w:val="none"/>
              </w:rPr>
              <w:t>与正文不一致的，以前附表为准。</w:t>
            </w:r>
          </w:p>
        </w:tc>
      </w:tr>
    </w:tbl>
    <w:p>
      <w:pPr>
        <w:adjustRightInd w:val="0"/>
        <w:snapToGrid w:val="0"/>
        <w:spacing w:line="500" w:lineRule="atLeast"/>
        <w:jc w:val="center"/>
        <w:rPr>
          <w:rFonts w:ascii="Times New Roman" w:hAnsi="Times New Roman" w:eastAsia="宋体" w:cs="Times New Roman"/>
          <w:color w:val="000000" w:themeColor="text1"/>
          <w:sz w:val="24"/>
          <w:szCs w:val="24"/>
          <w:highlight w:val="none"/>
        </w:rPr>
        <w:sectPr>
          <w:pgSz w:w="11906" w:h="16838"/>
          <w:pgMar w:top="1440" w:right="1466" w:bottom="1276" w:left="1800" w:header="851" w:footer="992" w:gutter="0"/>
          <w:cols w:space="720" w:num="1"/>
          <w:docGrid w:type="linesAndChars" w:linePitch="312" w:charSpace="0"/>
        </w:sectPr>
      </w:pPr>
    </w:p>
    <w:p>
      <w:pPr>
        <w:keepNext/>
        <w:keepLines/>
        <w:numPr>
          <w:ilvl w:val="1"/>
          <w:numId w:val="0"/>
        </w:numPr>
        <w:tabs>
          <w:tab w:val="left" w:pos="708"/>
        </w:tabs>
        <w:snapToGrid w:val="0"/>
        <w:spacing w:before="156" w:after="156" w:line="400" w:lineRule="atLeast"/>
        <w:jc w:val="center"/>
        <w:outlineLvl w:val="1"/>
        <w:rPr>
          <w:rFonts w:ascii="Times New Roman" w:hAnsi="Times New Roman" w:eastAsia="宋体" w:cs="Times New Roman"/>
          <w:b/>
          <w:bCs/>
          <w:color w:val="000000" w:themeColor="text1"/>
          <w:kern w:val="0"/>
          <w:sz w:val="30"/>
          <w:szCs w:val="30"/>
          <w:highlight w:val="none"/>
        </w:rPr>
      </w:pPr>
      <w:bookmarkStart w:id="5" w:name="_Toc380414613"/>
      <w:bookmarkStart w:id="6" w:name="_Toc345936711"/>
      <w:bookmarkStart w:id="7" w:name="_Toc32653"/>
      <w:bookmarkStart w:id="8" w:name="_Toc317551042"/>
      <w:bookmarkStart w:id="9" w:name="_Toc344406117"/>
      <w:bookmarkStart w:id="10" w:name="_Toc345343633"/>
      <w:bookmarkStart w:id="11" w:name="_Toc317837577"/>
      <w:r>
        <w:rPr>
          <w:rFonts w:ascii="Times New Roman" w:hAnsi="Times New Roman" w:eastAsia="宋体" w:cs="Times New Roman"/>
          <w:b/>
          <w:bCs/>
          <w:color w:val="000000" w:themeColor="text1"/>
          <w:kern w:val="0"/>
          <w:sz w:val="30"/>
          <w:szCs w:val="30"/>
          <w:highlight w:val="none"/>
        </w:rPr>
        <w:t>第二节投标人须知</w:t>
      </w:r>
      <w:bookmarkEnd w:id="5"/>
      <w:bookmarkEnd w:id="6"/>
      <w:bookmarkEnd w:id="7"/>
    </w:p>
    <w:p>
      <w:pPr>
        <w:rPr>
          <w:rFonts w:ascii="Times New Roman" w:hAnsi="Times New Roman" w:eastAsia="宋体" w:cs="Times New Roman"/>
          <w:color w:val="000000" w:themeColor="text1"/>
          <w:highlight w:val="none"/>
        </w:rPr>
      </w:pPr>
    </w:p>
    <w:bookmarkEnd w:id="8"/>
    <w:bookmarkEnd w:id="9"/>
    <w:bookmarkEnd w:id="10"/>
    <w:bookmarkEnd w:id="11"/>
    <w:p>
      <w:pPr>
        <w:jc w:val="center"/>
        <w:rPr>
          <w:rFonts w:ascii="Times New Roman" w:hAnsi="Times New Roman" w:eastAsia="宋体" w:cs="Times New Roman"/>
          <w:b/>
          <w:color w:val="000000" w:themeColor="text1"/>
          <w:sz w:val="28"/>
          <w:szCs w:val="32"/>
          <w:highlight w:val="none"/>
        </w:rPr>
      </w:pPr>
      <w:r>
        <w:rPr>
          <w:rFonts w:hint="eastAsia" w:ascii="Times New Roman" w:hAnsi="Times New Roman" w:eastAsia="宋体" w:cs="Times New Roman"/>
          <w:b/>
          <w:color w:val="000000" w:themeColor="text1"/>
          <w:sz w:val="28"/>
          <w:szCs w:val="32"/>
          <w:highlight w:val="none"/>
        </w:rPr>
        <w:t>一</w:t>
      </w:r>
      <w:r>
        <w:rPr>
          <w:rFonts w:ascii="Times New Roman" w:hAnsi="Times New Roman" w:eastAsia="宋体" w:cs="Times New Roman"/>
          <w:b/>
          <w:color w:val="000000" w:themeColor="text1"/>
          <w:sz w:val="28"/>
          <w:szCs w:val="32"/>
          <w:highlight w:val="none"/>
        </w:rPr>
        <w:t>、说明</w:t>
      </w:r>
    </w:p>
    <w:p>
      <w:pPr>
        <w:spacing w:line="360" w:lineRule="auto"/>
        <w:rPr>
          <w:rFonts w:ascii="Times New Roman" w:hAnsi="Times New Roman" w:eastAsia="宋体" w:cs="Times New Roman"/>
          <w:b/>
          <w:color w:val="000000" w:themeColor="text1"/>
          <w:sz w:val="28"/>
          <w:szCs w:val="24"/>
          <w:highlight w:val="none"/>
        </w:rPr>
      </w:pPr>
      <w:r>
        <w:rPr>
          <w:rFonts w:ascii="Times New Roman" w:hAnsi="Times New Roman" w:eastAsia="宋体" w:cs="Times New Roman"/>
          <w:b/>
          <w:color w:val="000000" w:themeColor="text1"/>
          <w:sz w:val="28"/>
          <w:szCs w:val="24"/>
          <w:highlight w:val="none"/>
        </w:rPr>
        <w:t>1．招标项目相关情况说明</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1.1招标人：详见</w:t>
      </w:r>
      <w:r>
        <w:rPr>
          <w:rFonts w:ascii="Times New Roman" w:hAnsi="Times New Roman" w:eastAsia="宋体" w:cs="Times New Roman"/>
          <w:b/>
          <w:color w:val="000000" w:themeColor="text1"/>
          <w:sz w:val="24"/>
          <w:szCs w:val="24"/>
          <w:highlight w:val="none"/>
        </w:rPr>
        <w:t>投标人须知前附表</w:t>
      </w:r>
      <w:r>
        <w:rPr>
          <w:rFonts w:ascii="Times New Roman" w:hAnsi="Times New Roman" w:eastAsia="宋体" w:cs="Times New Roman"/>
          <w:color w:val="000000" w:themeColor="text1"/>
          <w:sz w:val="24"/>
          <w:szCs w:val="24"/>
          <w:highlight w:val="none"/>
        </w:rPr>
        <w:t>。</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1.2招标代理机构（以下简称招标机构）：详见</w:t>
      </w:r>
      <w:r>
        <w:rPr>
          <w:rFonts w:ascii="Times New Roman" w:hAnsi="Times New Roman" w:eastAsia="宋体" w:cs="Times New Roman"/>
          <w:b/>
          <w:color w:val="000000" w:themeColor="text1"/>
          <w:sz w:val="24"/>
          <w:szCs w:val="24"/>
          <w:highlight w:val="none"/>
        </w:rPr>
        <w:t>投标人须知前附表</w:t>
      </w:r>
      <w:r>
        <w:rPr>
          <w:rFonts w:ascii="Times New Roman" w:hAnsi="Times New Roman" w:eastAsia="宋体" w:cs="Times New Roman"/>
          <w:color w:val="000000" w:themeColor="text1"/>
          <w:sz w:val="24"/>
          <w:szCs w:val="24"/>
          <w:highlight w:val="none"/>
        </w:rPr>
        <w:t>。</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1.3.项目名称、项目地点：详见</w:t>
      </w:r>
      <w:r>
        <w:rPr>
          <w:rFonts w:ascii="Times New Roman" w:hAnsi="Times New Roman" w:eastAsia="宋体" w:cs="Times New Roman"/>
          <w:b/>
          <w:color w:val="000000" w:themeColor="text1"/>
          <w:sz w:val="24"/>
          <w:szCs w:val="24"/>
          <w:highlight w:val="none"/>
        </w:rPr>
        <w:t>投标人须知前附表</w:t>
      </w:r>
      <w:r>
        <w:rPr>
          <w:rFonts w:ascii="Times New Roman" w:hAnsi="Times New Roman" w:eastAsia="宋体" w:cs="Times New Roman"/>
          <w:color w:val="000000" w:themeColor="text1"/>
          <w:sz w:val="24"/>
          <w:szCs w:val="24"/>
          <w:highlight w:val="none"/>
        </w:rPr>
        <w:t>。</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1.4资金来源及出资比例：详见</w:t>
      </w:r>
      <w:r>
        <w:rPr>
          <w:rFonts w:ascii="Times New Roman" w:hAnsi="Times New Roman" w:eastAsia="宋体" w:cs="Times New Roman"/>
          <w:b/>
          <w:color w:val="000000" w:themeColor="text1"/>
          <w:sz w:val="24"/>
          <w:szCs w:val="24"/>
          <w:highlight w:val="none"/>
        </w:rPr>
        <w:t>投标人须知前附表</w:t>
      </w:r>
      <w:r>
        <w:rPr>
          <w:rFonts w:ascii="Times New Roman" w:hAnsi="Times New Roman" w:eastAsia="宋体" w:cs="Times New Roman"/>
          <w:color w:val="000000" w:themeColor="text1"/>
          <w:sz w:val="24"/>
          <w:szCs w:val="24"/>
          <w:highlight w:val="none"/>
        </w:rPr>
        <w:t>。</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1.5</w:t>
      </w:r>
      <w:r>
        <w:rPr>
          <w:rFonts w:hint="eastAsia" w:ascii="Times New Roman" w:hAnsi="Times New Roman" w:eastAsia="宋体" w:cs="Times New Roman"/>
          <w:color w:val="000000" w:themeColor="text1"/>
          <w:sz w:val="24"/>
          <w:szCs w:val="24"/>
          <w:highlight w:val="none"/>
        </w:rPr>
        <w:t>货物规格型号及数量</w:t>
      </w:r>
      <w:r>
        <w:rPr>
          <w:rFonts w:ascii="Times New Roman" w:hAnsi="Times New Roman" w:eastAsia="宋体" w:cs="Times New Roman"/>
          <w:color w:val="000000" w:themeColor="text1"/>
          <w:sz w:val="24"/>
          <w:szCs w:val="24"/>
          <w:highlight w:val="none"/>
        </w:rPr>
        <w:t>：详见</w:t>
      </w:r>
      <w:r>
        <w:rPr>
          <w:rFonts w:ascii="Times New Roman" w:hAnsi="Times New Roman" w:eastAsia="宋体" w:cs="Times New Roman"/>
          <w:b/>
          <w:color w:val="000000" w:themeColor="text1"/>
          <w:sz w:val="24"/>
          <w:szCs w:val="24"/>
          <w:highlight w:val="none"/>
        </w:rPr>
        <w:t>投标人须知前附表</w:t>
      </w:r>
      <w:r>
        <w:rPr>
          <w:rFonts w:ascii="Times New Roman" w:hAnsi="Times New Roman" w:eastAsia="宋体" w:cs="Times New Roman"/>
          <w:color w:val="000000" w:themeColor="text1"/>
          <w:sz w:val="24"/>
          <w:szCs w:val="24"/>
          <w:highlight w:val="none"/>
        </w:rPr>
        <w:t>。</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1.6</w:t>
      </w:r>
      <w:r>
        <w:rPr>
          <w:rFonts w:hint="eastAsia" w:ascii="Times New Roman" w:hAnsi="Times New Roman" w:eastAsia="宋体" w:cs="Times New Roman"/>
          <w:color w:val="000000" w:themeColor="text1"/>
          <w:sz w:val="24"/>
          <w:szCs w:val="24"/>
          <w:highlight w:val="none"/>
        </w:rPr>
        <w:t>供货时间</w:t>
      </w:r>
      <w:r>
        <w:rPr>
          <w:rFonts w:ascii="Times New Roman" w:hAnsi="Times New Roman" w:eastAsia="宋体" w:cs="Times New Roman"/>
          <w:color w:val="000000" w:themeColor="text1"/>
          <w:sz w:val="24"/>
          <w:szCs w:val="24"/>
          <w:highlight w:val="none"/>
        </w:rPr>
        <w:t>：详见</w:t>
      </w:r>
      <w:r>
        <w:rPr>
          <w:rFonts w:ascii="Times New Roman" w:hAnsi="Times New Roman" w:eastAsia="宋体" w:cs="Times New Roman"/>
          <w:b/>
          <w:color w:val="000000" w:themeColor="text1"/>
          <w:sz w:val="24"/>
          <w:szCs w:val="24"/>
          <w:highlight w:val="none"/>
        </w:rPr>
        <w:t>投标人须知前附表</w:t>
      </w:r>
      <w:r>
        <w:rPr>
          <w:rFonts w:ascii="Times New Roman" w:hAnsi="Times New Roman" w:eastAsia="宋体" w:cs="Times New Roman"/>
          <w:color w:val="000000" w:themeColor="text1"/>
          <w:sz w:val="24"/>
          <w:szCs w:val="24"/>
          <w:highlight w:val="none"/>
        </w:rPr>
        <w:t>。</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1.7付款方式：详见</w:t>
      </w:r>
      <w:r>
        <w:rPr>
          <w:rFonts w:ascii="Times New Roman" w:hAnsi="Times New Roman" w:eastAsia="宋体" w:cs="Times New Roman"/>
          <w:b/>
          <w:color w:val="000000" w:themeColor="text1"/>
          <w:sz w:val="24"/>
          <w:szCs w:val="24"/>
          <w:highlight w:val="none"/>
        </w:rPr>
        <w:t>投标人须知前附表</w:t>
      </w:r>
      <w:r>
        <w:rPr>
          <w:rFonts w:ascii="Times New Roman" w:hAnsi="Times New Roman" w:eastAsia="宋体" w:cs="Times New Roman"/>
          <w:color w:val="000000" w:themeColor="text1"/>
          <w:sz w:val="24"/>
          <w:szCs w:val="24"/>
          <w:highlight w:val="none"/>
        </w:rPr>
        <w:t>。</w:t>
      </w:r>
    </w:p>
    <w:p>
      <w:pPr>
        <w:jc w:val="center"/>
        <w:rPr>
          <w:rFonts w:ascii="Times New Roman" w:hAnsi="Times New Roman" w:eastAsia="宋体" w:cs="Times New Roman"/>
          <w:b/>
          <w:color w:val="000000" w:themeColor="text1"/>
          <w:sz w:val="28"/>
          <w:szCs w:val="32"/>
          <w:highlight w:val="none"/>
        </w:rPr>
      </w:pPr>
      <w:bookmarkStart w:id="12" w:name="_Toc356889595"/>
      <w:bookmarkStart w:id="13" w:name="_Toc370978585"/>
      <w:bookmarkStart w:id="14" w:name="_Toc370738915"/>
      <w:r>
        <w:rPr>
          <w:rFonts w:hint="eastAsia" w:ascii="Times New Roman" w:hAnsi="Times New Roman" w:eastAsia="宋体" w:cs="Times New Roman"/>
          <w:b/>
          <w:color w:val="000000" w:themeColor="text1"/>
          <w:sz w:val="28"/>
          <w:szCs w:val="32"/>
          <w:highlight w:val="none"/>
        </w:rPr>
        <w:t>二</w:t>
      </w:r>
      <w:r>
        <w:rPr>
          <w:rFonts w:ascii="Times New Roman" w:hAnsi="Times New Roman" w:eastAsia="宋体" w:cs="Times New Roman"/>
          <w:b/>
          <w:color w:val="000000" w:themeColor="text1"/>
          <w:sz w:val="28"/>
          <w:szCs w:val="32"/>
          <w:highlight w:val="none"/>
        </w:rPr>
        <w:t>、投标人</w:t>
      </w:r>
      <w:bookmarkEnd w:id="12"/>
      <w:bookmarkEnd w:id="13"/>
      <w:bookmarkEnd w:id="14"/>
    </w:p>
    <w:p>
      <w:pPr>
        <w:spacing w:line="360" w:lineRule="auto"/>
        <w:rPr>
          <w:rFonts w:ascii="Times New Roman" w:hAnsi="Times New Roman" w:eastAsia="宋体" w:cs="Times New Roman"/>
          <w:b/>
          <w:color w:val="000000" w:themeColor="text1"/>
          <w:sz w:val="28"/>
          <w:szCs w:val="24"/>
          <w:highlight w:val="none"/>
        </w:rPr>
      </w:pPr>
      <w:bookmarkStart w:id="15" w:name="_Toc370738916"/>
      <w:bookmarkStart w:id="16" w:name="_Toc370978586"/>
      <w:bookmarkStart w:id="17" w:name="_Toc356889596"/>
      <w:r>
        <w:rPr>
          <w:rFonts w:ascii="Times New Roman" w:hAnsi="Times New Roman" w:eastAsia="宋体" w:cs="Times New Roman"/>
          <w:b/>
          <w:color w:val="000000" w:themeColor="text1"/>
          <w:sz w:val="28"/>
          <w:szCs w:val="24"/>
          <w:highlight w:val="none"/>
        </w:rPr>
        <w:t>2.投标人资格及要求</w:t>
      </w:r>
      <w:bookmarkEnd w:id="15"/>
      <w:bookmarkEnd w:id="16"/>
      <w:bookmarkEnd w:id="17"/>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2.1投标人应遵守《中华人民共和国招标投标法》、《中华人民共和国招标投标法实施条例》及国家和地方有关的法律、法规。</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2.2有下列情形之一的潜在投标人，不得参与投标：</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2.2.1与招标人存在利害关系可能影响招标公正性的法人、其他组织或者个人，不得参加投标。单位负责人为同一人或者存在控股、管理关系的不同单位，不得参加同一分包或者未划分包的同一招标项目投标；</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2.2.2与招标人或招标代理机构有控股关系；</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2.2.3被有关行政部门暂停投标资格期限未满的。</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2.3对投标人的其它资格要求：详见</w:t>
      </w:r>
      <w:r>
        <w:rPr>
          <w:rFonts w:ascii="Times New Roman" w:hAnsi="Times New Roman" w:eastAsia="宋体" w:cs="Times New Roman"/>
          <w:b/>
          <w:color w:val="000000" w:themeColor="text1"/>
          <w:sz w:val="24"/>
          <w:szCs w:val="24"/>
          <w:highlight w:val="none"/>
        </w:rPr>
        <w:t>投标人须知前附表</w:t>
      </w:r>
      <w:r>
        <w:rPr>
          <w:rFonts w:ascii="Times New Roman" w:hAnsi="Times New Roman" w:eastAsia="宋体" w:cs="Times New Roman"/>
          <w:color w:val="000000" w:themeColor="text1"/>
          <w:sz w:val="24"/>
          <w:szCs w:val="24"/>
          <w:highlight w:val="none"/>
        </w:rPr>
        <w:t>。</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2.4投标人须知前附表规定接受联合体投标的，除应符合</w:t>
      </w:r>
      <w:r>
        <w:rPr>
          <w:rFonts w:ascii="Times New Roman" w:hAnsi="Times New Roman" w:eastAsia="宋体" w:cs="Times New Roman"/>
          <w:b/>
          <w:color w:val="000000" w:themeColor="text1"/>
          <w:sz w:val="24"/>
          <w:szCs w:val="24"/>
          <w:highlight w:val="none"/>
        </w:rPr>
        <w:t>投标人须知前附表</w:t>
      </w:r>
      <w:r>
        <w:rPr>
          <w:rFonts w:ascii="Times New Roman" w:hAnsi="Times New Roman" w:eastAsia="宋体" w:cs="Times New Roman"/>
          <w:color w:val="000000" w:themeColor="text1"/>
          <w:sz w:val="24"/>
          <w:szCs w:val="24"/>
          <w:highlight w:val="none"/>
        </w:rPr>
        <w:t>第2.</w:t>
      </w:r>
      <w:r>
        <w:rPr>
          <w:rFonts w:hint="eastAsia" w:ascii="Times New Roman" w:hAnsi="Times New Roman" w:eastAsia="宋体" w:cs="Times New Roman"/>
          <w:color w:val="000000" w:themeColor="text1"/>
          <w:sz w:val="24"/>
          <w:szCs w:val="24"/>
          <w:highlight w:val="none"/>
        </w:rPr>
        <w:t>3</w:t>
      </w:r>
      <w:r>
        <w:rPr>
          <w:rFonts w:ascii="Times New Roman" w:hAnsi="Times New Roman" w:eastAsia="宋体" w:cs="Times New Roman"/>
          <w:color w:val="000000" w:themeColor="text1"/>
          <w:sz w:val="24"/>
          <w:szCs w:val="24"/>
          <w:highlight w:val="none"/>
        </w:rPr>
        <w:t>条的要求外，还应遵守以下规定：</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（1）联合体各方应提供联合体协议书，明确联合体牵头人和各方权利义务；</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（2）由同一专业的投标人组成的联合体，按照资质等级较低的投标人确定资质等级；</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（3）联合体各方不得再以自己名义单独投标或参加其他联合体在同一分包中投标。</w:t>
      </w:r>
    </w:p>
    <w:p>
      <w:pPr>
        <w:spacing w:line="360" w:lineRule="auto"/>
        <w:rPr>
          <w:rFonts w:ascii="Times New Roman" w:hAnsi="Times New Roman" w:eastAsia="宋体" w:cs="Times New Roman"/>
          <w:b/>
          <w:color w:val="000000" w:themeColor="text1"/>
          <w:sz w:val="28"/>
          <w:szCs w:val="24"/>
          <w:highlight w:val="none"/>
        </w:rPr>
      </w:pPr>
      <w:bookmarkStart w:id="18" w:name="_Toc370978587"/>
      <w:bookmarkStart w:id="19" w:name="_Toc370738917"/>
      <w:bookmarkStart w:id="20" w:name="_Toc356889597"/>
      <w:r>
        <w:rPr>
          <w:rFonts w:ascii="Times New Roman" w:hAnsi="Times New Roman" w:eastAsia="宋体" w:cs="Times New Roman"/>
          <w:b/>
          <w:color w:val="000000" w:themeColor="text1"/>
          <w:sz w:val="28"/>
          <w:szCs w:val="24"/>
          <w:highlight w:val="none"/>
        </w:rPr>
        <w:t>3.投标费用</w:t>
      </w:r>
      <w:bookmarkEnd w:id="18"/>
      <w:bookmarkEnd w:id="19"/>
      <w:bookmarkEnd w:id="20"/>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3.1投标人应自行承担所有参加投标的全部费用。不论投标的结果如何，招标人或招标机构均无义务或责任承担这些费用。</w:t>
      </w:r>
    </w:p>
    <w:p>
      <w:pPr>
        <w:jc w:val="center"/>
        <w:rPr>
          <w:rFonts w:ascii="Times New Roman" w:hAnsi="Times New Roman" w:eastAsia="宋体" w:cs="Times New Roman"/>
          <w:b/>
          <w:color w:val="000000" w:themeColor="text1"/>
          <w:sz w:val="28"/>
          <w:szCs w:val="32"/>
          <w:highlight w:val="none"/>
        </w:rPr>
      </w:pPr>
      <w:bookmarkStart w:id="21" w:name="_Toc370738918"/>
      <w:bookmarkStart w:id="22" w:name="_Toc356889598"/>
      <w:bookmarkStart w:id="23" w:name="_Toc370978588"/>
      <w:r>
        <w:rPr>
          <w:rFonts w:hint="eastAsia" w:ascii="Times New Roman" w:hAnsi="Times New Roman" w:eastAsia="宋体" w:cs="Times New Roman"/>
          <w:b/>
          <w:color w:val="000000" w:themeColor="text1"/>
          <w:sz w:val="28"/>
          <w:szCs w:val="32"/>
          <w:highlight w:val="none"/>
        </w:rPr>
        <w:t>三</w:t>
      </w:r>
      <w:r>
        <w:rPr>
          <w:rFonts w:ascii="Times New Roman" w:hAnsi="Times New Roman" w:eastAsia="宋体" w:cs="Times New Roman"/>
          <w:b/>
          <w:color w:val="000000" w:themeColor="text1"/>
          <w:sz w:val="28"/>
          <w:szCs w:val="32"/>
          <w:highlight w:val="none"/>
        </w:rPr>
        <w:t>、招标文件</w:t>
      </w:r>
      <w:bookmarkEnd w:id="21"/>
      <w:bookmarkEnd w:id="22"/>
      <w:bookmarkEnd w:id="23"/>
    </w:p>
    <w:p>
      <w:pPr>
        <w:spacing w:line="360" w:lineRule="auto"/>
        <w:rPr>
          <w:rFonts w:ascii="Times New Roman" w:hAnsi="Times New Roman" w:eastAsia="宋体" w:cs="Times New Roman"/>
          <w:b/>
          <w:color w:val="000000" w:themeColor="text1"/>
          <w:sz w:val="28"/>
          <w:szCs w:val="24"/>
          <w:highlight w:val="none"/>
        </w:rPr>
      </w:pPr>
      <w:bookmarkStart w:id="24" w:name="_Toc356889599"/>
      <w:bookmarkStart w:id="25" w:name="_Toc370978589"/>
      <w:bookmarkStart w:id="26" w:name="_Toc370738919"/>
      <w:r>
        <w:rPr>
          <w:rFonts w:ascii="Times New Roman" w:hAnsi="Times New Roman" w:eastAsia="宋体" w:cs="Times New Roman"/>
          <w:b/>
          <w:color w:val="000000" w:themeColor="text1"/>
          <w:sz w:val="28"/>
          <w:szCs w:val="24"/>
          <w:highlight w:val="none"/>
        </w:rPr>
        <w:t>4.招标文件</w:t>
      </w:r>
      <w:bookmarkEnd w:id="24"/>
      <w:bookmarkEnd w:id="25"/>
      <w:bookmarkEnd w:id="26"/>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4.1招标文件的组成：</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（1）招标公告</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（2）投标人须知前附表</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（3）投标人须知</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（4）评标方法前附表</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（5）评标方法</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（6）合同条款及格式</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（7）项目需求</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（8）投标文件格式</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（9）招标人对招标文件所作的答疑、补遗、澄清、修改。</w:t>
      </w:r>
    </w:p>
    <w:p>
      <w:pPr>
        <w:tabs>
          <w:tab w:val="left" w:pos="1050"/>
          <w:tab w:val="left" w:pos="1470"/>
        </w:tabs>
        <w:spacing w:line="360" w:lineRule="auto"/>
        <w:ind w:firstLine="480" w:firstLineChars="200"/>
        <w:rPr>
          <w:rFonts w:ascii="Times New Roman" w:hAnsi="Times New Roman" w:eastAsia="宋体" w:cs="Times New Roman"/>
          <w:color w:val="000000" w:themeColor="text1"/>
          <w:highlight w:val="none"/>
        </w:rPr>
      </w:pPr>
      <w:r>
        <w:rPr>
          <w:rFonts w:ascii="Times New Roman" w:hAnsi="Times New Roman" w:eastAsia="宋体" w:cs="Times New Roman"/>
          <w:color w:val="000000" w:themeColor="text1"/>
          <w:sz w:val="24"/>
          <w:szCs w:val="24"/>
          <w:highlight w:val="none"/>
        </w:rPr>
        <w:t>4.2投标人应详细阅读招标文件的全部内容，须按招标文件的要求提供投标文件和相关资料。</w:t>
      </w:r>
    </w:p>
    <w:p>
      <w:pPr>
        <w:spacing w:line="360" w:lineRule="auto"/>
        <w:rPr>
          <w:rFonts w:ascii="Times New Roman" w:hAnsi="Times New Roman" w:eastAsia="宋体" w:cs="Times New Roman"/>
          <w:b/>
          <w:color w:val="000000" w:themeColor="text1"/>
          <w:sz w:val="28"/>
          <w:szCs w:val="24"/>
          <w:highlight w:val="none"/>
        </w:rPr>
      </w:pPr>
      <w:bookmarkStart w:id="27" w:name="_Toc370978590"/>
      <w:bookmarkStart w:id="28" w:name="_Toc356889600"/>
      <w:bookmarkStart w:id="29" w:name="_Toc370738920"/>
      <w:r>
        <w:rPr>
          <w:rFonts w:ascii="Times New Roman" w:hAnsi="Times New Roman" w:eastAsia="宋体" w:cs="Times New Roman"/>
          <w:b/>
          <w:color w:val="000000" w:themeColor="text1"/>
          <w:sz w:val="28"/>
          <w:szCs w:val="24"/>
          <w:highlight w:val="none"/>
        </w:rPr>
        <w:t>5.招标文件的质疑和澄清</w:t>
      </w:r>
      <w:bookmarkEnd w:id="27"/>
      <w:bookmarkEnd w:id="28"/>
      <w:bookmarkEnd w:id="29"/>
    </w:p>
    <w:p>
      <w:pPr>
        <w:spacing w:line="360" w:lineRule="auto"/>
        <w:ind w:firstLine="480" w:firstLineChars="200"/>
        <w:rPr>
          <w:rFonts w:ascii="Times New Roman" w:hAnsi="Times New Roman" w:eastAsia="宋体" w:cs="Times New Roman"/>
          <w:color w:val="000000" w:themeColor="text1"/>
          <w:sz w:val="24"/>
          <w:szCs w:val="24"/>
          <w:highlight w:val="none"/>
        </w:rPr>
      </w:pPr>
      <w:bookmarkStart w:id="30" w:name="_Toc356889601"/>
      <w:bookmarkStart w:id="31" w:name="_Toc370978591"/>
      <w:bookmarkStart w:id="32" w:name="_Toc370738921"/>
      <w:r>
        <w:rPr>
          <w:rFonts w:ascii="Times New Roman" w:hAnsi="Times New Roman" w:eastAsia="宋体" w:cs="Times New Roman"/>
          <w:color w:val="000000" w:themeColor="text1"/>
          <w:sz w:val="24"/>
          <w:szCs w:val="24"/>
          <w:highlight w:val="none"/>
        </w:rPr>
        <w:t>5.1投标人应自行下载招标文件及所有资料，并认真仔细阅读招标文件中所有的事项、条款、格式和技术要求及规格等全部内容，投标人没有按照招标文件要求提交全部资料，或者投标文件没有对招标文件作出实质性响应，是投标人的风险，并可能导致其投标被拒绝。</w:t>
      </w:r>
    </w:p>
    <w:p>
      <w:pPr>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5.2任何要求对招标文件进行澄清的潜在投标人，均应</w:t>
      </w:r>
      <w:r>
        <w:rPr>
          <w:rFonts w:hint="eastAsia" w:ascii="Times New Roman" w:hAnsi="Times New Roman" w:eastAsia="宋体" w:cs="Times New Roman"/>
          <w:color w:val="000000" w:themeColor="text1"/>
          <w:sz w:val="24"/>
          <w:szCs w:val="24"/>
          <w:highlight w:val="none"/>
        </w:rPr>
        <w:t>按</w:t>
      </w:r>
      <w:r>
        <w:rPr>
          <w:rFonts w:ascii="Times New Roman" w:hAnsi="Times New Roman" w:eastAsia="宋体" w:cs="Times New Roman"/>
          <w:b/>
          <w:color w:val="000000" w:themeColor="text1"/>
          <w:sz w:val="24"/>
          <w:szCs w:val="24"/>
          <w:highlight w:val="none"/>
        </w:rPr>
        <w:t>投标人须知前附表</w:t>
      </w:r>
      <w:r>
        <w:rPr>
          <w:rFonts w:ascii="Times New Roman" w:hAnsi="Times New Roman" w:eastAsia="宋体" w:cs="Times New Roman"/>
          <w:color w:val="000000" w:themeColor="text1"/>
          <w:sz w:val="24"/>
          <w:szCs w:val="24"/>
          <w:highlight w:val="none"/>
        </w:rPr>
        <w:t>规定的时间</w:t>
      </w:r>
      <w:r>
        <w:rPr>
          <w:rFonts w:hint="eastAsia" w:ascii="Times New Roman" w:hAnsi="Times New Roman" w:eastAsia="宋体" w:cs="Times New Roman"/>
          <w:color w:val="000000" w:themeColor="text1"/>
          <w:sz w:val="24"/>
          <w:szCs w:val="24"/>
          <w:highlight w:val="none"/>
        </w:rPr>
        <w:t>和方式</w:t>
      </w:r>
      <w:r>
        <w:rPr>
          <w:rFonts w:ascii="Times New Roman" w:hAnsi="Times New Roman" w:eastAsia="宋体" w:cs="Times New Roman"/>
          <w:color w:val="000000" w:themeColor="text1"/>
          <w:sz w:val="24"/>
          <w:szCs w:val="24"/>
          <w:highlight w:val="none"/>
        </w:rPr>
        <w:t>提交需澄清的具体事项及问题，要求招标人对招标文件予以澄清或答复。</w:t>
      </w:r>
    </w:p>
    <w:p>
      <w:pPr>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5.3潜在投标人或者其它利害关系人对招标文件有异议的，应当在投标截止时间10日前提出。招标人应当自收到异议之日起3日内作出答复，并将答复内容以补遗的形式在</w:t>
      </w:r>
      <w:r>
        <w:rPr>
          <w:rFonts w:hint="eastAsia" w:ascii="Times New Roman" w:hAnsi="Times New Roman" w:eastAsia="宋体" w:cs="Times New Roman"/>
          <w:color w:val="000000" w:themeColor="text1"/>
          <w:sz w:val="24"/>
          <w:szCs w:val="24"/>
          <w:highlight w:val="none"/>
        </w:rPr>
        <w:t>重庆国际投资咨询集团网</w:t>
      </w:r>
      <w:r>
        <w:rPr>
          <w:rFonts w:ascii="Times New Roman" w:hAnsi="Times New Roman" w:eastAsia="宋体" w:cs="Times New Roman"/>
          <w:color w:val="000000" w:themeColor="text1"/>
          <w:sz w:val="24"/>
          <w:szCs w:val="24"/>
          <w:highlight w:val="none"/>
        </w:rPr>
        <w:t>上发布，补遗内容可能影响投标文件编制的，须在投标截止时间15日前发布，发布时间至投标截止时间不足15日的，须相应延后投标截止时间。</w:t>
      </w:r>
    </w:p>
    <w:p>
      <w:pPr>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5.4招标人对投标人所提质疑和澄清问题的回答内容将在</w:t>
      </w:r>
      <w:r>
        <w:rPr>
          <w:rFonts w:ascii="Times New Roman" w:hAnsi="Times New Roman" w:eastAsia="宋体" w:cs="Times New Roman"/>
          <w:b/>
          <w:color w:val="000000" w:themeColor="text1"/>
          <w:sz w:val="24"/>
          <w:szCs w:val="24"/>
          <w:highlight w:val="none"/>
        </w:rPr>
        <w:t>投标人须知前附表</w:t>
      </w:r>
      <w:r>
        <w:rPr>
          <w:rFonts w:ascii="Times New Roman" w:hAnsi="Times New Roman" w:eastAsia="宋体" w:cs="Times New Roman"/>
          <w:color w:val="000000" w:themeColor="text1"/>
          <w:sz w:val="24"/>
          <w:szCs w:val="24"/>
          <w:highlight w:val="none"/>
        </w:rPr>
        <w:t>规定的时间，在</w:t>
      </w:r>
      <w:r>
        <w:rPr>
          <w:rFonts w:hint="eastAsia" w:ascii="Times New Roman" w:hAnsi="Times New Roman" w:eastAsia="宋体" w:cs="Times New Roman"/>
          <w:color w:val="000000" w:themeColor="text1"/>
          <w:sz w:val="24"/>
          <w:szCs w:val="24"/>
          <w:highlight w:val="none"/>
        </w:rPr>
        <w:t>重庆国际投资咨询集团网上</w:t>
      </w:r>
      <w:r>
        <w:rPr>
          <w:rFonts w:ascii="Times New Roman" w:hAnsi="Times New Roman" w:eastAsia="宋体" w:cs="Times New Roman"/>
          <w:color w:val="000000" w:themeColor="text1"/>
          <w:sz w:val="24"/>
          <w:szCs w:val="24"/>
          <w:highlight w:val="none"/>
        </w:rPr>
        <w:t>发布，但不指明质疑和澄清问题的来源。如果招标人发出的澄清或者修改内容的时间距投标截止时间不足15日的，则应当顺延提交投标文件的截止时间和开标时间。</w:t>
      </w:r>
    </w:p>
    <w:p>
      <w:pPr>
        <w:spacing w:line="360" w:lineRule="auto"/>
        <w:rPr>
          <w:rFonts w:ascii="Times New Roman" w:hAnsi="Times New Roman" w:eastAsia="宋体" w:cs="Times New Roman"/>
          <w:b/>
          <w:color w:val="000000" w:themeColor="text1"/>
          <w:sz w:val="28"/>
          <w:szCs w:val="24"/>
          <w:highlight w:val="none"/>
        </w:rPr>
      </w:pPr>
      <w:r>
        <w:rPr>
          <w:rFonts w:ascii="Times New Roman" w:hAnsi="Times New Roman" w:eastAsia="宋体" w:cs="Times New Roman"/>
          <w:b/>
          <w:color w:val="000000" w:themeColor="text1"/>
          <w:sz w:val="28"/>
          <w:szCs w:val="24"/>
          <w:highlight w:val="none"/>
        </w:rPr>
        <w:t>6.招标文件的修改</w:t>
      </w:r>
      <w:bookmarkEnd w:id="30"/>
      <w:bookmarkEnd w:id="31"/>
      <w:bookmarkEnd w:id="32"/>
      <w:r>
        <w:rPr>
          <w:rFonts w:ascii="Times New Roman" w:hAnsi="Times New Roman" w:eastAsia="宋体" w:cs="Times New Roman"/>
          <w:b/>
          <w:color w:val="000000" w:themeColor="text1"/>
          <w:sz w:val="28"/>
          <w:szCs w:val="24"/>
          <w:highlight w:val="none"/>
        </w:rPr>
        <w:tab/>
      </w:r>
    </w:p>
    <w:p>
      <w:pPr>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招标人可以对已发出的招标文件进行必要的修改，修改内容将按</w:t>
      </w:r>
      <w:r>
        <w:rPr>
          <w:rFonts w:ascii="Times New Roman" w:hAnsi="Times New Roman" w:eastAsia="宋体" w:cs="Times New Roman"/>
          <w:b/>
          <w:color w:val="000000" w:themeColor="text1"/>
          <w:sz w:val="24"/>
          <w:szCs w:val="24"/>
          <w:highlight w:val="none"/>
        </w:rPr>
        <w:t>投标人须知前附表</w:t>
      </w:r>
      <w:r>
        <w:rPr>
          <w:rFonts w:ascii="Times New Roman" w:hAnsi="Times New Roman" w:eastAsia="宋体" w:cs="Times New Roman"/>
          <w:color w:val="000000" w:themeColor="text1"/>
          <w:sz w:val="24"/>
          <w:szCs w:val="24"/>
          <w:highlight w:val="none"/>
        </w:rPr>
        <w:t>规定的时间，在</w:t>
      </w:r>
      <w:r>
        <w:rPr>
          <w:rFonts w:hint="eastAsia" w:ascii="Times New Roman" w:hAnsi="Times New Roman" w:eastAsia="宋体" w:cs="Times New Roman"/>
          <w:color w:val="000000" w:themeColor="text1"/>
          <w:sz w:val="24"/>
          <w:szCs w:val="24"/>
          <w:highlight w:val="none"/>
        </w:rPr>
        <w:t>重庆国际投资咨询集团网</w:t>
      </w:r>
      <w:r>
        <w:rPr>
          <w:rFonts w:ascii="Times New Roman" w:hAnsi="Times New Roman" w:eastAsia="宋体" w:cs="Times New Roman"/>
          <w:color w:val="000000" w:themeColor="text1"/>
          <w:sz w:val="24"/>
          <w:szCs w:val="24"/>
          <w:highlight w:val="none"/>
        </w:rPr>
        <w:t>上发布；投标人应及时在网上查寻并自行下载招标人发出的通知、修改、答疑、补疑等重要内容。如果修改招标文件的时间距投标截止时间不足15日的，招标人应当顺延提交投标文件的截止时间和开标时间。</w:t>
      </w:r>
    </w:p>
    <w:p>
      <w:pPr>
        <w:jc w:val="center"/>
        <w:rPr>
          <w:rFonts w:ascii="Times New Roman" w:hAnsi="Times New Roman" w:eastAsia="宋体" w:cs="Times New Roman"/>
          <w:b/>
          <w:color w:val="000000" w:themeColor="text1"/>
          <w:sz w:val="28"/>
          <w:szCs w:val="32"/>
          <w:highlight w:val="none"/>
        </w:rPr>
      </w:pPr>
      <w:bookmarkStart w:id="33" w:name="_Toc370738922"/>
      <w:bookmarkStart w:id="34" w:name="_Toc356889602"/>
      <w:bookmarkStart w:id="35" w:name="_Toc370978592"/>
      <w:r>
        <w:rPr>
          <w:rFonts w:ascii="Times New Roman" w:hAnsi="Times New Roman" w:eastAsia="宋体" w:cs="Times New Roman"/>
          <w:b/>
          <w:color w:val="000000" w:themeColor="text1"/>
          <w:sz w:val="28"/>
          <w:szCs w:val="32"/>
          <w:highlight w:val="none"/>
        </w:rPr>
        <w:t>四、投标文件</w:t>
      </w:r>
      <w:bookmarkEnd w:id="33"/>
      <w:bookmarkEnd w:id="34"/>
      <w:bookmarkEnd w:id="35"/>
    </w:p>
    <w:p>
      <w:pPr>
        <w:spacing w:line="360" w:lineRule="auto"/>
        <w:rPr>
          <w:rFonts w:ascii="Times New Roman" w:hAnsi="Times New Roman" w:eastAsia="宋体" w:cs="Times New Roman"/>
          <w:b/>
          <w:color w:val="000000" w:themeColor="text1"/>
          <w:sz w:val="28"/>
          <w:szCs w:val="24"/>
          <w:highlight w:val="none"/>
        </w:rPr>
      </w:pPr>
      <w:bookmarkStart w:id="36" w:name="_Toc370978593"/>
      <w:bookmarkStart w:id="37" w:name="_Toc356889603"/>
      <w:bookmarkStart w:id="38" w:name="_Toc370738923"/>
      <w:r>
        <w:rPr>
          <w:rFonts w:ascii="Times New Roman" w:hAnsi="Times New Roman" w:eastAsia="宋体" w:cs="Times New Roman"/>
          <w:b/>
          <w:color w:val="000000" w:themeColor="text1"/>
          <w:sz w:val="28"/>
          <w:szCs w:val="24"/>
          <w:highlight w:val="none"/>
        </w:rPr>
        <w:t>7.投标文件计量单位</w:t>
      </w:r>
      <w:bookmarkEnd w:id="36"/>
      <w:bookmarkEnd w:id="37"/>
      <w:bookmarkEnd w:id="38"/>
    </w:p>
    <w:p>
      <w:pPr>
        <w:tabs>
          <w:tab w:val="left" w:pos="1050"/>
          <w:tab w:val="left" w:pos="1470"/>
        </w:tabs>
        <w:adjustRightInd w:val="0"/>
        <w:spacing w:line="360" w:lineRule="auto"/>
        <w:ind w:firstLine="480" w:firstLineChars="200"/>
        <w:rPr>
          <w:rFonts w:ascii="Times New Roman" w:hAnsi="Times New Roman" w:eastAsia="宋体" w:cs="Times New Roman"/>
          <w:color w:val="000000" w:themeColor="text1"/>
          <w:highlight w:val="none"/>
        </w:rPr>
      </w:pPr>
      <w:r>
        <w:rPr>
          <w:rFonts w:ascii="Times New Roman" w:hAnsi="Times New Roman" w:eastAsia="宋体" w:cs="Times New Roman"/>
          <w:color w:val="000000" w:themeColor="text1"/>
          <w:sz w:val="24"/>
          <w:szCs w:val="24"/>
          <w:highlight w:val="none"/>
        </w:rPr>
        <w:t>投标文件中所使用的计量单位，除招标文件中有特殊要求外，应采用国家法定计量单位。</w:t>
      </w:r>
    </w:p>
    <w:p>
      <w:pPr>
        <w:spacing w:line="360" w:lineRule="auto"/>
        <w:rPr>
          <w:rFonts w:ascii="Times New Roman" w:hAnsi="Times New Roman" w:eastAsia="宋体" w:cs="Times New Roman"/>
          <w:b/>
          <w:color w:val="000000" w:themeColor="text1"/>
          <w:sz w:val="28"/>
          <w:szCs w:val="24"/>
          <w:highlight w:val="none"/>
        </w:rPr>
      </w:pPr>
      <w:bookmarkStart w:id="39" w:name="_Toc370978594"/>
      <w:bookmarkStart w:id="40" w:name="_Toc370738924"/>
      <w:bookmarkStart w:id="41" w:name="_Toc356889604"/>
      <w:r>
        <w:rPr>
          <w:rFonts w:ascii="Times New Roman" w:hAnsi="Times New Roman" w:eastAsia="宋体" w:cs="Times New Roman"/>
          <w:b/>
          <w:color w:val="000000" w:themeColor="text1"/>
          <w:sz w:val="28"/>
          <w:szCs w:val="24"/>
          <w:highlight w:val="none"/>
        </w:rPr>
        <w:t>8.投标文件的组成</w:t>
      </w:r>
      <w:bookmarkEnd w:id="39"/>
      <w:bookmarkEnd w:id="40"/>
      <w:bookmarkEnd w:id="41"/>
    </w:p>
    <w:p>
      <w:pPr>
        <w:spacing w:line="360" w:lineRule="auto"/>
        <w:ind w:firstLine="480" w:firstLineChars="200"/>
        <w:rPr>
          <w:rFonts w:ascii="Times New Roman" w:hAnsi="Times New Roman" w:eastAsia="宋体" w:cs="Times New Roman"/>
          <w:color w:val="000000" w:themeColor="text1"/>
          <w:sz w:val="24"/>
          <w:szCs w:val="24"/>
          <w:highlight w:val="none"/>
        </w:rPr>
      </w:pPr>
      <w:bookmarkStart w:id="42" w:name="_Toc370738925"/>
      <w:bookmarkStart w:id="43" w:name="_Toc356889605"/>
      <w:bookmarkStart w:id="44" w:name="_Toc370978595"/>
      <w:r>
        <w:rPr>
          <w:rFonts w:ascii="Times New Roman" w:hAnsi="Times New Roman" w:eastAsia="宋体" w:cs="Times New Roman"/>
          <w:color w:val="000000" w:themeColor="text1"/>
          <w:sz w:val="24"/>
          <w:szCs w:val="24"/>
          <w:highlight w:val="none"/>
        </w:rPr>
        <w:t>8.1 投标文件包括但不限于下列内容：</w:t>
      </w:r>
    </w:p>
    <w:p>
      <w:pPr>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（1）投标函</w:t>
      </w:r>
    </w:p>
    <w:p>
      <w:pPr>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（2）资格、技术、商务部分</w:t>
      </w:r>
    </w:p>
    <w:p>
      <w:pPr>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8.2 资格和业绩证明文件：</w:t>
      </w:r>
    </w:p>
    <w:p>
      <w:pPr>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见</w:t>
      </w:r>
      <w:r>
        <w:rPr>
          <w:rFonts w:ascii="Times New Roman" w:hAnsi="Times New Roman" w:eastAsia="宋体" w:cs="Times New Roman"/>
          <w:b/>
          <w:color w:val="000000" w:themeColor="text1"/>
          <w:sz w:val="24"/>
          <w:szCs w:val="24"/>
          <w:highlight w:val="none"/>
        </w:rPr>
        <w:t>投标人须知前附表</w:t>
      </w:r>
      <w:r>
        <w:rPr>
          <w:rFonts w:ascii="Times New Roman" w:hAnsi="Times New Roman" w:eastAsia="宋体" w:cs="Times New Roman"/>
          <w:color w:val="000000" w:themeColor="text1"/>
          <w:sz w:val="24"/>
          <w:szCs w:val="24"/>
          <w:highlight w:val="none"/>
        </w:rPr>
        <w:t>要求。</w:t>
      </w:r>
    </w:p>
    <w:p>
      <w:pPr>
        <w:spacing w:line="360" w:lineRule="auto"/>
        <w:rPr>
          <w:rFonts w:ascii="Times New Roman" w:hAnsi="Times New Roman" w:eastAsia="宋体" w:cs="Times New Roman"/>
          <w:b/>
          <w:color w:val="000000" w:themeColor="text1"/>
          <w:sz w:val="28"/>
          <w:szCs w:val="24"/>
          <w:highlight w:val="none"/>
        </w:rPr>
      </w:pPr>
      <w:r>
        <w:rPr>
          <w:rFonts w:ascii="Times New Roman" w:hAnsi="Times New Roman" w:eastAsia="宋体" w:cs="Times New Roman"/>
          <w:b/>
          <w:color w:val="000000" w:themeColor="text1"/>
          <w:sz w:val="28"/>
          <w:szCs w:val="24"/>
          <w:highlight w:val="none"/>
        </w:rPr>
        <w:t>9.投标文件填写说明</w:t>
      </w:r>
      <w:bookmarkEnd w:id="42"/>
      <w:bookmarkEnd w:id="43"/>
      <w:bookmarkEnd w:id="44"/>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9.1投标人应按照招标文件第六章投标文件格式完整地填写投标函等以及招标文件中规定的其它内容，然后装订成册。</w:t>
      </w:r>
    </w:p>
    <w:p>
      <w:pPr>
        <w:spacing w:line="360" w:lineRule="auto"/>
        <w:rPr>
          <w:rFonts w:ascii="Times New Roman" w:hAnsi="Times New Roman" w:eastAsia="宋体" w:cs="Times New Roman"/>
          <w:b/>
          <w:color w:val="000000" w:themeColor="text1"/>
          <w:sz w:val="28"/>
          <w:szCs w:val="24"/>
          <w:highlight w:val="none"/>
        </w:rPr>
      </w:pPr>
      <w:bookmarkStart w:id="45" w:name="_Toc370738926"/>
      <w:bookmarkStart w:id="46" w:name="_Toc370978596"/>
      <w:bookmarkStart w:id="47" w:name="_Toc356889606"/>
      <w:r>
        <w:rPr>
          <w:rFonts w:ascii="Times New Roman" w:hAnsi="Times New Roman" w:eastAsia="宋体" w:cs="Times New Roman"/>
          <w:b/>
          <w:color w:val="000000" w:themeColor="text1"/>
          <w:sz w:val="28"/>
          <w:szCs w:val="24"/>
          <w:highlight w:val="none"/>
        </w:rPr>
        <w:t>10.投标文件附件的编制</w:t>
      </w:r>
      <w:bookmarkEnd w:id="45"/>
      <w:bookmarkEnd w:id="46"/>
      <w:bookmarkEnd w:id="47"/>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10.1投标文件附件由投标人视需要自行编制。规格幅面应与正文一致，附于正文之后，与正文页码统一编目编码装订。</w:t>
      </w:r>
    </w:p>
    <w:p>
      <w:pPr>
        <w:spacing w:line="360" w:lineRule="auto"/>
        <w:rPr>
          <w:rFonts w:ascii="Times New Roman" w:hAnsi="Times New Roman" w:eastAsia="宋体" w:cs="Times New Roman"/>
          <w:b/>
          <w:color w:val="000000" w:themeColor="text1"/>
          <w:sz w:val="28"/>
          <w:szCs w:val="24"/>
          <w:highlight w:val="none"/>
        </w:rPr>
      </w:pPr>
      <w:bookmarkStart w:id="48" w:name="_Toc370978597"/>
      <w:bookmarkStart w:id="49" w:name="_Toc356889607"/>
      <w:bookmarkStart w:id="50" w:name="_Toc370738927"/>
      <w:r>
        <w:rPr>
          <w:rFonts w:ascii="Times New Roman" w:hAnsi="Times New Roman" w:eastAsia="宋体" w:cs="Times New Roman"/>
          <w:b/>
          <w:color w:val="000000" w:themeColor="text1"/>
          <w:sz w:val="28"/>
          <w:szCs w:val="24"/>
          <w:highlight w:val="none"/>
        </w:rPr>
        <w:t>11.投标报价</w:t>
      </w:r>
      <w:bookmarkEnd w:id="48"/>
      <w:bookmarkEnd w:id="49"/>
      <w:bookmarkEnd w:id="50"/>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11.1币种为人民币。</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11.2投标报价应包括投标人须知前附表规定的所有内容，投标人应按投标函的内容逐项填写，并由法定代表人或其授权代表签署并加盖单位公章。</w:t>
      </w:r>
    </w:p>
    <w:p>
      <w:pPr>
        <w:spacing w:line="360" w:lineRule="auto"/>
        <w:rPr>
          <w:rFonts w:ascii="Times New Roman" w:hAnsi="Times New Roman" w:eastAsia="宋体" w:cs="Times New Roman"/>
          <w:b/>
          <w:color w:val="000000" w:themeColor="text1"/>
          <w:sz w:val="28"/>
          <w:szCs w:val="24"/>
          <w:highlight w:val="none"/>
        </w:rPr>
      </w:pPr>
      <w:bookmarkStart w:id="51" w:name="_Toc356889608"/>
      <w:bookmarkStart w:id="52" w:name="_Toc370978598"/>
      <w:bookmarkStart w:id="53" w:name="_Toc370738928"/>
      <w:r>
        <w:rPr>
          <w:rFonts w:ascii="Times New Roman" w:hAnsi="Times New Roman" w:eastAsia="宋体" w:cs="Times New Roman"/>
          <w:b/>
          <w:color w:val="000000" w:themeColor="text1"/>
          <w:sz w:val="28"/>
          <w:szCs w:val="24"/>
          <w:highlight w:val="none"/>
        </w:rPr>
        <w:t>12.投标保证金</w:t>
      </w:r>
      <w:bookmarkEnd w:id="51"/>
      <w:bookmarkEnd w:id="52"/>
      <w:bookmarkEnd w:id="53"/>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12.1本项目约定投标人应提供的投标保证金金额、提交方式、投标保证金到账截止时间、投标保证金有效期等详见</w:t>
      </w:r>
      <w:r>
        <w:rPr>
          <w:rFonts w:ascii="Times New Roman" w:hAnsi="Times New Roman" w:eastAsia="宋体" w:cs="Times New Roman"/>
          <w:b/>
          <w:color w:val="000000" w:themeColor="text1"/>
          <w:sz w:val="24"/>
          <w:szCs w:val="24"/>
          <w:highlight w:val="none"/>
        </w:rPr>
        <w:t>投标人须知前附表</w:t>
      </w:r>
      <w:r>
        <w:rPr>
          <w:rFonts w:ascii="Times New Roman" w:hAnsi="Times New Roman" w:eastAsia="宋体" w:cs="Times New Roman"/>
          <w:color w:val="000000" w:themeColor="text1"/>
          <w:sz w:val="24"/>
          <w:szCs w:val="24"/>
          <w:highlight w:val="none"/>
        </w:rPr>
        <w:t>。</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12.2投标保证金可采用下列形式之一种：</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（1）银行转帐；</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（2）银行电汇；</w:t>
      </w:r>
    </w:p>
    <w:p>
      <w:pPr>
        <w:tabs>
          <w:tab w:val="left" w:pos="1050"/>
          <w:tab w:val="left" w:pos="1470"/>
        </w:tabs>
        <w:spacing w:line="360" w:lineRule="auto"/>
        <w:ind w:firstLine="1080" w:firstLineChars="45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以银行转帐或电汇形式提交的投标保证金必须从投标人</w:t>
      </w:r>
      <w:r>
        <w:rPr>
          <w:rFonts w:ascii="Times New Roman" w:hAnsi="Times New Roman" w:eastAsia="宋体" w:cs="Times New Roman"/>
          <w:b/>
          <w:color w:val="000000" w:themeColor="text1"/>
          <w:sz w:val="24"/>
          <w:szCs w:val="24"/>
          <w:highlight w:val="none"/>
        </w:rPr>
        <w:t>基本账户</w:t>
      </w:r>
      <w:r>
        <w:rPr>
          <w:rFonts w:ascii="Times New Roman" w:hAnsi="Times New Roman" w:eastAsia="宋体" w:cs="Times New Roman"/>
          <w:color w:val="000000" w:themeColor="text1"/>
          <w:sz w:val="24"/>
          <w:szCs w:val="24"/>
          <w:highlight w:val="none"/>
        </w:rPr>
        <w:t>转出。</w:t>
      </w:r>
    </w:p>
    <w:p>
      <w:pPr>
        <w:widowControl/>
        <w:spacing w:line="300" w:lineRule="auto"/>
        <w:ind w:firstLine="480" w:firstLineChars="200"/>
        <w:rPr>
          <w:rFonts w:ascii="宋体" w:hAnsi="宋体" w:eastAsia="宋体" w:cs="Times New Roman"/>
          <w:color w:val="000000" w:themeColor="text1"/>
          <w:sz w:val="24"/>
          <w:szCs w:val="24"/>
          <w:highlight w:val="none"/>
        </w:rPr>
      </w:pPr>
      <w:r>
        <w:rPr>
          <w:rFonts w:ascii="宋体" w:hAnsi="宋体" w:eastAsia="宋体" w:cs="Times New Roman"/>
          <w:color w:val="000000" w:themeColor="text1"/>
          <w:sz w:val="24"/>
          <w:szCs w:val="24"/>
          <w:highlight w:val="none"/>
        </w:rPr>
        <w:t>12.</w:t>
      </w:r>
      <w:r>
        <w:rPr>
          <w:rFonts w:hint="eastAsia" w:ascii="宋体" w:hAnsi="宋体" w:eastAsia="宋体" w:cs="Times New Roman"/>
          <w:color w:val="000000" w:themeColor="text1"/>
          <w:sz w:val="24"/>
          <w:szCs w:val="24"/>
          <w:highlight w:val="none"/>
        </w:rPr>
        <w:t>3中标候选人以外投标人的投标保证金退还详见</w:t>
      </w:r>
      <w:r>
        <w:rPr>
          <w:rFonts w:hint="eastAsia" w:ascii="宋体" w:hAnsi="宋体" w:eastAsia="宋体" w:cs="Times New Roman"/>
          <w:b/>
          <w:color w:val="000000" w:themeColor="text1"/>
          <w:sz w:val="24"/>
          <w:szCs w:val="24"/>
          <w:highlight w:val="none"/>
        </w:rPr>
        <w:t>投标人须知前附表</w:t>
      </w:r>
      <w:r>
        <w:rPr>
          <w:rFonts w:hint="eastAsia" w:ascii="宋体" w:hAnsi="宋体" w:eastAsia="宋体" w:cs="Times New Roman"/>
          <w:color w:val="000000" w:themeColor="text1"/>
          <w:sz w:val="24"/>
          <w:szCs w:val="24"/>
          <w:highlight w:val="none"/>
        </w:rPr>
        <w:t>。</w:t>
      </w:r>
    </w:p>
    <w:p>
      <w:pPr>
        <w:widowControl/>
        <w:spacing w:line="300" w:lineRule="auto"/>
        <w:ind w:firstLine="480" w:firstLineChars="200"/>
        <w:rPr>
          <w:rFonts w:ascii="宋体" w:hAnsi="宋体" w:eastAsia="宋体" w:cs="Times New Roman"/>
          <w:color w:val="000000" w:themeColor="text1"/>
          <w:sz w:val="24"/>
          <w:szCs w:val="24"/>
          <w:highlight w:val="none"/>
        </w:rPr>
      </w:pPr>
      <w:r>
        <w:rPr>
          <w:rFonts w:ascii="宋体" w:hAnsi="宋体" w:eastAsia="宋体" w:cs="Times New Roman"/>
          <w:color w:val="000000" w:themeColor="text1"/>
          <w:sz w:val="24"/>
          <w:szCs w:val="24"/>
          <w:highlight w:val="none"/>
        </w:rPr>
        <w:t>12.</w:t>
      </w:r>
      <w:r>
        <w:rPr>
          <w:rFonts w:hint="eastAsia" w:ascii="宋体" w:hAnsi="宋体" w:eastAsia="宋体" w:cs="Times New Roman"/>
          <w:color w:val="000000" w:themeColor="text1"/>
          <w:sz w:val="24"/>
          <w:szCs w:val="24"/>
          <w:highlight w:val="none"/>
        </w:rPr>
        <w:t>4中标人和其他中标候选人的投标保证金退还详见</w:t>
      </w:r>
      <w:r>
        <w:rPr>
          <w:rFonts w:hint="eastAsia" w:ascii="宋体" w:hAnsi="宋体" w:eastAsia="宋体" w:cs="Times New Roman"/>
          <w:b/>
          <w:color w:val="000000" w:themeColor="text1"/>
          <w:sz w:val="24"/>
          <w:szCs w:val="24"/>
          <w:highlight w:val="none"/>
        </w:rPr>
        <w:t>投标人须知前附表</w:t>
      </w:r>
      <w:r>
        <w:rPr>
          <w:rFonts w:hint="eastAsia" w:ascii="宋体" w:hAnsi="宋体" w:eastAsia="宋体" w:cs="Times New Roman"/>
          <w:color w:val="000000" w:themeColor="text1"/>
          <w:sz w:val="24"/>
          <w:szCs w:val="24"/>
          <w:highlight w:val="none"/>
        </w:rPr>
        <w:t>。</w:t>
      </w:r>
    </w:p>
    <w:p>
      <w:pPr>
        <w:widowControl/>
        <w:spacing w:line="300" w:lineRule="auto"/>
        <w:ind w:firstLine="480" w:firstLineChars="200"/>
        <w:rPr>
          <w:rFonts w:ascii="宋体" w:hAnsi="宋体" w:eastAsia="宋体" w:cs="Times New Roman"/>
          <w:color w:val="000000" w:themeColor="text1"/>
          <w:sz w:val="24"/>
          <w:szCs w:val="24"/>
          <w:highlight w:val="none"/>
        </w:rPr>
      </w:pPr>
      <w:r>
        <w:rPr>
          <w:rFonts w:ascii="宋体" w:hAnsi="宋体" w:eastAsia="宋体" w:cs="Times New Roman"/>
          <w:color w:val="000000" w:themeColor="text1"/>
          <w:sz w:val="24"/>
          <w:szCs w:val="24"/>
          <w:highlight w:val="none"/>
        </w:rPr>
        <w:t>12.</w:t>
      </w:r>
      <w:r>
        <w:rPr>
          <w:rFonts w:hint="eastAsia" w:ascii="宋体" w:hAnsi="宋体" w:eastAsia="宋体" w:cs="Times New Roman"/>
          <w:color w:val="000000" w:themeColor="text1"/>
          <w:sz w:val="24"/>
          <w:szCs w:val="24"/>
          <w:highlight w:val="none"/>
        </w:rPr>
        <w:t>5发生下列情况之一，保证金将不予退还：</w:t>
      </w:r>
    </w:p>
    <w:p>
      <w:pPr>
        <w:widowControl/>
        <w:tabs>
          <w:tab w:val="left" w:pos="1050"/>
          <w:tab w:val="left" w:pos="1470"/>
        </w:tabs>
        <w:adjustRightInd w:val="0"/>
        <w:spacing w:line="440" w:lineRule="exact"/>
        <w:ind w:firstLine="480" w:firstLineChars="200"/>
        <w:rPr>
          <w:rFonts w:ascii="宋体" w:hAnsi="宋体" w:eastAsia="宋体" w:cs="Times New Roman"/>
          <w:color w:val="000000" w:themeColor="text1"/>
          <w:sz w:val="24"/>
          <w:szCs w:val="24"/>
          <w:highlight w:val="none"/>
        </w:rPr>
      </w:pPr>
      <w:r>
        <w:rPr>
          <w:rFonts w:ascii="宋体" w:hAnsi="宋体" w:eastAsia="宋体" w:cs="Arial"/>
          <w:color w:val="000000" w:themeColor="text1"/>
          <w:sz w:val="24"/>
          <w:szCs w:val="24"/>
          <w:highlight w:val="none"/>
        </w:rPr>
        <w:t>（</w:t>
      </w:r>
      <w:r>
        <w:rPr>
          <w:rFonts w:ascii="宋体" w:hAnsi="宋体" w:eastAsia="宋体" w:cs="Times New Roman"/>
          <w:color w:val="000000" w:themeColor="text1"/>
          <w:sz w:val="24"/>
          <w:szCs w:val="24"/>
          <w:highlight w:val="none"/>
        </w:rPr>
        <w:t>1）</w:t>
      </w:r>
      <w:r>
        <w:rPr>
          <w:rFonts w:hint="eastAsia" w:ascii="宋体" w:hAnsi="宋体" w:eastAsia="宋体" w:cs="Times New Roman"/>
          <w:color w:val="000000" w:themeColor="text1"/>
          <w:sz w:val="24"/>
          <w:szCs w:val="24"/>
          <w:highlight w:val="none"/>
        </w:rPr>
        <w:t>投标人在投标有效期内撤销投标文件</w:t>
      </w:r>
      <w:r>
        <w:rPr>
          <w:rFonts w:ascii="宋体" w:hAnsi="宋体" w:eastAsia="宋体" w:cs="Times New Roman"/>
          <w:color w:val="000000" w:themeColor="text1"/>
          <w:sz w:val="24"/>
          <w:szCs w:val="24"/>
          <w:highlight w:val="none"/>
        </w:rPr>
        <w:t>。</w:t>
      </w:r>
    </w:p>
    <w:p>
      <w:pPr>
        <w:widowControl/>
        <w:tabs>
          <w:tab w:val="left" w:pos="1050"/>
          <w:tab w:val="left" w:pos="1470"/>
        </w:tabs>
        <w:adjustRightInd w:val="0"/>
        <w:spacing w:line="440" w:lineRule="exact"/>
        <w:ind w:firstLine="480" w:firstLineChars="200"/>
        <w:rPr>
          <w:rFonts w:ascii="宋体" w:hAnsi="宋体" w:eastAsia="宋体" w:cs="Times New Roman"/>
          <w:color w:val="000000" w:themeColor="text1"/>
          <w:sz w:val="24"/>
          <w:szCs w:val="24"/>
          <w:highlight w:val="none"/>
        </w:rPr>
      </w:pPr>
      <w:r>
        <w:rPr>
          <w:rFonts w:ascii="宋体" w:hAnsi="宋体" w:eastAsia="宋体" w:cs="Times New Roman"/>
          <w:color w:val="000000" w:themeColor="text1"/>
          <w:sz w:val="24"/>
          <w:szCs w:val="24"/>
          <w:highlight w:val="none"/>
        </w:rPr>
        <w:t>（2）</w:t>
      </w:r>
      <w:r>
        <w:rPr>
          <w:rFonts w:hint="eastAsia" w:ascii="宋体" w:hAnsi="宋体" w:eastAsia="宋体" w:cs="Times New Roman"/>
          <w:color w:val="000000" w:themeColor="text1"/>
          <w:sz w:val="24"/>
          <w:szCs w:val="24"/>
          <w:highlight w:val="none"/>
        </w:rPr>
        <w:t>中标人在收到中标通知书后，无正当理由不与招标人订立合同，在签订合同时向招标人提出附加条件，或者不按照招标文件要求提交履约保证金</w:t>
      </w:r>
      <w:r>
        <w:rPr>
          <w:rFonts w:ascii="宋体" w:hAnsi="宋体" w:eastAsia="宋体" w:cs="Times New Roman"/>
          <w:color w:val="000000" w:themeColor="text1"/>
          <w:sz w:val="24"/>
          <w:szCs w:val="24"/>
          <w:highlight w:val="none"/>
        </w:rPr>
        <w:t>。</w:t>
      </w:r>
    </w:p>
    <w:p>
      <w:pPr>
        <w:widowControl/>
        <w:tabs>
          <w:tab w:val="left" w:pos="1050"/>
          <w:tab w:val="left" w:pos="1470"/>
        </w:tabs>
        <w:adjustRightInd w:val="0"/>
        <w:spacing w:line="440" w:lineRule="exact"/>
        <w:ind w:firstLine="480" w:firstLineChars="200"/>
        <w:rPr>
          <w:rFonts w:ascii="宋体" w:hAnsi="宋体" w:eastAsia="宋体" w:cs="Times New Roman"/>
          <w:color w:val="000000" w:themeColor="text1"/>
          <w:sz w:val="24"/>
          <w:szCs w:val="24"/>
          <w:highlight w:val="none"/>
        </w:rPr>
      </w:pPr>
      <w:r>
        <w:rPr>
          <w:rFonts w:hint="eastAsia" w:ascii="宋体" w:hAnsi="宋体" w:eastAsia="宋体" w:cs="Times New Roman"/>
          <w:color w:val="000000" w:themeColor="text1"/>
          <w:sz w:val="24"/>
          <w:szCs w:val="24"/>
          <w:highlight w:val="none"/>
        </w:rPr>
        <w:t>（3）</w:t>
      </w:r>
      <w:r>
        <w:rPr>
          <w:rFonts w:ascii="宋体" w:hAnsi="宋体" w:eastAsia="宋体" w:cs="Times New Roman"/>
          <w:color w:val="000000" w:themeColor="text1"/>
          <w:sz w:val="24"/>
          <w:szCs w:val="24"/>
          <w:highlight w:val="none"/>
        </w:rPr>
        <w:t>中标人不按本</w:t>
      </w:r>
      <w:r>
        <w:rPr>
          <w:rFonts w:hint="eastAsia" w:ascii="宋体" w:hAnsi="宋体" w:eastAsia="宋体" w:cs="Times New Roman"/>
          <w:color w:val="000000" w:themeColor="text1"/>
          <w:sz w:val="24"/>
          <w:szCs w:val="24"/>
          <w:highlight w:val="none"/>
        </w:rPr>
        <w:t>招标文件</w:t>
      </w:r>
      <w:r>
        <w:rPr>
          <w:rFonts w:ascii="宋体" w:hAnsi="宋体" w:eastAsia="宋体" w:cs="Times New Roman"/>
          <w:color w:val="000000" w:themeColor="text1"/>
          <w:sz w:val="24"/>
          <w:szCs w:val="24"/>
          <w:highlight w:val="none"/>
        </w:rPr>
        <w:t>规定提供</w:t>
      </w:r>
      <w:r>
        <w:rPr>
          <w:rFonts w:hint="eastAsia" w:ascii="宋体" w:hAnsi="宋体" w:eastAsia="宋体" w:cs="Times New Roman"/>
          <w:color w:val="000000" w:themeColor="text1"/>
          <w:sz w:val="24"/>
          <w:szCs w:val="24"/>
          <w:highlight w:val="none"/>
        </w:rPr>
        <w:t>低价</w:t>
      </w:r>
      <w:r>
        <w:rPr>
          <w:rFonts w:ascii="宋体" w:hAnsi="宋体" w:eastAsia="宋体" w:cs="Times New Roman"/>
          <w:color w:val="000000" w:themeColor="text1"/>
          <w:sz w:val="24"/>
          <w:szCs w:val="24"/>
          <w:highlight w:val="none"/>
        </w:rPr>
        <w:t>履约担保</w:t>
      </w:r>
      <w:r>
        <w:rPr>
          <w:rFonts w:hint="eastAsia" w:ascii="宋体" w:hAnsi="宋体" w:eastAsia="宋体" w:cs="Times New Roman"/>
          <w:color w:val="000000" w:themeColor="text1"/>
          <w:sz w:val="24"/>
          <w:szCs w:val="24"/>
          <w:highlight w:val="none"/>
        </w:rPr>
        <w:t>的（如果有）。</w:t>
      </w:r>
    </w:p>
    <w:p>
      <w:pPr>
        <w:widowControl/>
        <w:tabs>
          <w:tab w:val="left" w:pos="426"/>
          <w:tab w:val="left" w:pos="1470"/>
        </w:tabs>
        <w:adjustRightInd w:val="0"/>
        <w:spacing w:line="440" w:lineRule="exact"/>
        <w:ind w:firstLine="480" w:firstLineChars="200"/>
        <w:rPr>
          <w:rFonts w:ascii="宋体" w:hAnsi="宋体" w:eastAsia="宋体" w:cs="Times New Roman"/>
          <w:color w:val="000000" w:themeColor="text1"/>
          <w:sz w:val="24"/>
          <w:szCs w:val="24"/>
          <w:highlight w:val="none"/>
        </w:rPr>
      </w:pPr>
      <w:r>
        <w:rPr>
          <w:rFonts w:hint="eastAsia" w:ascii="宋体" w:hAnsi="宋体" w:eastAsia="宋体" w:cs="Times New Roman"/>
          <w:color w:val="000000" w:themeColor="text1"/>
          <w:sz w:val="24"/>
          <w:szCs w:val="24"/>
          <w:highlight w:val="none"/>
        </w:rPr>
        <w:t>（4）拟</w:t>
      </w:r>
      <w:r>
        <w:rPr>
          <w:rFonts w:ascii="宋体" w:hAnsi="宋体" w:eastAsia="宋体" w:cs="Times New Roman"/>
          <w:color w:val="000000" w:themeColor="text1"/>
          <w:sz w:val="24"/>
          <w:szCs w:val="24"/>
          <w:highlight w:val="none"/>
        </w:rPr>
        <w:t>中标人不按本</w:t>
      </w:r>
      <w:r>
        <w:rPr>
          <w:rFonts w:hint="eastAsia" w:ascii="宋体" w:hAnsi="宋体" w:eastAsia="宋体" w:cs="Times New Roman"/>
          <w:color w:val="000000" w:themeColor="text1"/>
          <w:sz w:val="24"/>
          <w:szCs w:val="24"/>
          <w:highlight w:val="none"/>
        </w:rPr>
        <w:t>招标文件</w:t>
      </w:r>
      <w:r>
        <w:rPr>
          <w:rFonts w:ascii="宋体" w:hAnsi="宋体" w:eastAsia="宋体" w:cs="Times New Roman"/>
          <w:color w:val="000000" w:themeColor="text1"/>
          <w:sz w:val="24"/>
          <w:szCs w:val="24"/>
          <w:highlight w:val="none"/>
        </w:rPr>
        <w:t>规定</w:t>
      </w:r>
      <w:r>
        <w:rPr>
          <w:rFonts w:hint="eastAsia" w:ascii="宋体" w:hAnsi="宋体" w:eastAsia="宋体" w:cs="Times New Roman"/>
          <w:color w:val="000000" w:themeColor="text1"/>
          <w:sz w:val="24"/>
          <w:szCs w:val="24"/>
          <w:highlight w:val="none"/>
        </w:rPr>
        <w:t>参加相关测试或相关测试未通过的（如果有）。</w:t>
      </w:r>
    </w:p>
    <w:p>
      <w:pPr>
        <w:widowControl/>
        <w:spacing w:line="300" w:lineRule="auto"/>
        <w:ind w:firstLine="480" w:firstLineChars="200"/>
        <w:rPr>
          <w:rFonts w:ascii="宋体" w:hAnsi="宋体" w:eastAsia="宋体" w:cs="Times New Roman"/>
          <w:color w:val="000000" w:themeColor="text1"/>
          <w:sz w:val="24"/>
          <w:szCs w:val="24"/>
          <w:highlight w:val="none"/>
        </w:rPr>
      </w:pPr>
      <w:r>
        <w:rPr>
          <w:rFonts w:hint="eastAsia" w:ascii="宋体" w:hAnsi="宋体" w:eastAsia="宋体" w:cs="Times New Roman"/>
          <w:color w:val="000000" w:themeColor="text1"/>
          <w:sz w:val="24"/>
          <w:szCs w:val="24"/>
          <w:highlight w:val="none"/>
        </w:rPr>
        <w:t>（5）</w:t>
      </w:r>
      <w:r>
        <w:rPr>
          <w:rFonts w:ascii="宋体" w:hAnsi="宋体" w:eastAsia="宋体" w:cs="Times New Roman"/>
          <w:color w:val="000000" w:themeColor="text1"/>
          <w:sz w:val="24"/>
          <w:szCs w:val="24"/>
          <w:highlight w:val="none"/>
        </w:rPr>
        <w:t>中标人不按本</w:t>
      </w:r>
      <w:r>
        <w:rPr>
          <w:rFonts w:hint="eastAsia" w:ascii="宋体" w:hAnsi="宋体" w:eastAsia="宋体" w:cs="Times New Roman"/>
          <w:color w:val="000000" w:themeColor="text1"/>
          <w:sz w:val="24"/>
          <w:szCs w:val="24"/>
          <w:highlight w:val="none"/>
        </w:rPr>
        <w:t>招标文件</w:t>
      </w:r>
      <w:r>
        <w:rPr>
          <w:rFonts w:ascii="宋体" w:hAnsi="宋体" w:eastAsia="宋体" w:cs="Times New Roman"/>
          <w:color w:val="000000" w:themeColor="text1"/>
          <w:sz w:val="24"/>
          <w:szCs w:val="24"/>
          <w:highlight w:val="none"/>
        </w:rPr>
        <w:t>规定</w:t>
      </w:r>
      <w:r>
        <w:rPr>
          <w:rFonts w:hint="eastAsia" w:ascii="宋体" w:hAnsi="宋体" w:eastAsia="宋体" w:cs="Times New Roman"/>
          <w:color w:val="000000" w:themeColor="text1"/>
          <w:sz w:val="24"/>
          <w:szCs w:val="24"/>
          <w:highlight w:val="none"/>
        </w:rPr>
        <w:t>支</w:t>
      </w:r>
      <w:r>
        <w:rPr>
          <w:rFonts w:ascii="宋体" w:hAnsi="宋体" w:eastAsia="宋体" w:cs="Times New Roman"/>
          <w:color w:val="000000" w:themeColor="text1"/>
          <w:sz w:val="24"/>
          <w:szCs w:val="24"/>
          <w:highlight w:val="none"/>
        </w:rPr>
        <w:t>付招标代理服务费</w:t>
      </w:r>
      <w:r>
        <w:rPr>
          <w:rFonts w:hint="eastAsia" w:ascii="宋体" w:hAnsi="宋体" w:eastAsia="宋体" w:cs="Times New Roman"/>
          <w:color w:val="000000" w:themeColor="text1"/>
          <w:sz w:val="24"/>
          <w:szCs w:val="24"/>
          <w:highlight w:val="none"/>
        </w:rPr>
        <w:t>或交易服务费</w:t>
      </w:r>
      <w:r>
        <w:rPr>
          <w:rFonts w:ascii="宋体" w:hAnsi="宋体" w:eastAsia="宋体" w:cs="Times New Roman"/>
          <w:color w:val="000000" w:themeColor="text1"/>
          <w:sz w:val="24"/>
          <w:szCs w:val="24"/>
          <w:highlight w:val="none"/>
        </w:rPr>
        <w:t>的。</w:t>
      </w:r>
    </w:p>
    <w:p>
      <w:pPr>
        <w:widowControl/>
        <w:spacing w:line="300" w:lineRule="auto"/>
        <w:ind w:firstLine="480" w:firstLineChars="200"/>
        <w:rPr>
          <w:rFonts w:ascii="宋体" w:hAnsi="宋体" w:eastAsia="宋体" w:cs="Times New Roman"/>
          <w:color w:val="000000" w:themeColor="text1"/>
          <w:sz w:val="24"/>
          <w:szCs w:val="24"/>
          <w:highlight w:val="none"/>
        </w:rPr>
      </w:pPr>
      <w:r>
        <w:rPr>
          <w:rFonts w:hint="eastAsia" w:ascii="宋体" w:hAnsi="宋体" w:eastAsia="宋体" w:cs="Times New Roman"/>
          <w:color w:val="000000" w:themeColor="text1"/>
          <w:sz w:val="24"/>
          <w:szCs w:val="24"/>
          <w:highlight w:val="none"/>
        </w:rPr>
        <w:t>（6）发生投标人须知前附表规定的其他可以不予退还投标保证金的情形。</w:t>
      </w:r>
    </w:p>
    <w:p>
      <w:pPr>
        <w:spacing w:line="360" w:lineRule="auto"/>
        <w:ind w:firstLine="480" w:firstLineChars="200"/>
        <w:rPr>
          <w:rFonts w:ascii="Times New Roman" w:hAnsi="Times New Roman" w:eastAsia="宋体" w:cs="Times New Roman"/>
          <w:color w:val="000000" w:themeColor="text1"/>
          <w:sz w:val="24"/>
          <w:szCs w:val="24"/>
          <w:highlight w:val="none"/>
        </w:rPr>
      </w:pPr>
      <w:r>
        <w:rPr>
          <w:rFonts w:hint="eastAsia" w:ascii="宋体" w:hAnsi="宋体" w:eastAsia="宋体" w:cs="Times New Roman"/>
          <w:color w:val="000000" w:themeColor="text1"/>
          <w:sz w:val="24"/>
          <w:szCs w:val="24"/>
          <w:highlight w:val="none"/>
        </w:rPr>
        <w:t>（7）《招标投标法》、《招标投标法实施条例》及《重庆市招标投标条例》等法律法规规定的没收投标保证金的情况；</w:t>
      </w:r>
      <w:bookmarkStart w:id="54" w:name="_Toc370738929"/>
      <w:bookmarkStart w:id="55" w:name="_Toc370978599"/>
      <w:bookmarkStart w:id="56" w:name="_Toc356889609"/>
    </w:p>
    <w:p>
      <w:pPr>
        <w:spacing w:line="360" w:lineRule="auto"/>
        <w:rPr>
          <w:rFonts w:ascii="Times New Roman" w:hAnsi="Times New Roman" w:eastAsia="宋体" w:cs="Times New Roman"/>
          <w:b/>
          <w:color w:val="000000" w:themeColor="text1"/>
          <w:sz w:val="28"/>
          <w:szCs w:val="24"/>
          <w:highlight w:val="none"/>
        </w:rPr>
      </w:pPr>
      <w:r>
        <w:rPr>
          <w:rFonts w:ascii="Times New Roman" w:hAnsi="Times New Roman" w:eastAsia="宋体" w:cs="Times New Roman"/>
          <w:b/>
          <w:color w:val="000000" w:themeColor="text1"/>
          <w:sz w:val="28"/>
          <w:szCs w:val="24"/>
          <w:highlight w:val="none"/>
        </w:rPr>
        <w:t>13.投标文件的有效期</w:t>
      </w:r>
      <w:bookmarkEnd w:id="54"/>
      <w:bookmarkEnd w:id="55"/>
      <w:bookmarkEnd w:id="56"/>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自开标日起90日内，投标文件保持有效。</w:t>
      </w:r>
    </w:p>
    <w:p>
      <w:pPr>
        <w:spacing w:line="360" w:lineRule="auto"/>
        <w:rPr>
          <w:rFonts w:ascii="Times New Roman" w:hAnsi="Times New Roman" w:eastAsia="宋体" w:cs="Times New Roman"/>
          <w:b/>
          <w:color w:val="000000" w:themeColor="text1"/>
          <w:sz w:val="28"/>
          <w:szCs w:val="24"/>
          <w:highlight w:val="none"/>
        </w:rPr>
      </w:pPr>
      <w:bookmarkStart w:id="57" w:name="_Toc370978600"/>
      <w:bookmarkStart w:id="58" w:name="_Toc356889610"/>
      <w:bookmarkStart w:id="59" w:name="_Toc370738930"/>
      <w:r>
        <w:rPr>
          <w:rFonts w:ascii="Times New Roman" w:hAnsi="Times New Roman" w:eastAsia="宋体" w:cs="Times New Roman"/>
          <w:b/>
          <w:color w:val="000000" w:themeColor="text1"/>
          <w:sz w:val="28"/>
          <w:szCs w:val="24"/>
          <w:highlight w:val="none"/>
        </w:rPr>
        <w:t>14.投标文件的签署及规定</w:t>
      </w:r>
      <w:bookmarkEnd w:id="57"/>
      <w:bookmarkEnd w:id="58"/>
      <w:bookmarkEnd w:id="59"/>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14.1组成投标文件的各项资料（本须知第8条中所规定）均应遵守本条。</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14.2投标文件必须由法定代表人或其授权代表签署同时加盖单位公章（在投标文件格式规定的签字盖章处）。</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14.3投标文件正本</w:t>
      </w:r>
      <w:r>
        <w:rPr>
          <w:rFonts w:ascii="Times New Roman" w:hAnsi="Times New Roman" w:eastAsia="宋体" w:cs="Times New Roman"/>
          <w:color w:val="000000" w:themeColor="text1"/>
          <w:sz w:val="24"/>
          <w:highlight w:val="none"/>
        </w:rPr>
        <w:t>1</w:t>
      </w:r>
      <w:r>
        <w:rPr>
          <w:rFonts w:ascii="Times New Roman" w:hAnsi="Times New Roman" w:eastAsia="宋体" w:cs="Times New Roman"/>
          <w:color w:val="000000" w:themeColor="text1"/>
          <w:sz w:val="24"/>
          <w:szCs w:val="24"/>
          <w:highlight w:val="none"/>
        </w:rPr>
        <w:t>份，副本数量、电子文件数量详见</w:t>
      </w:r>
      <w:r>
        <w:rPr>
          <w:rFonts w:ascii="Times New Roman" w:hAnsi="Times New Roman" w:eastAsia="宋体" w:cs="Times New Roman"/>
          <w:b/>
          <w:color w:val="000000" w:themeColor="text1"/>
          <w:sz w:val="24"/>
          <w:szCs w:val="24"/>
          <w:highlight w:val="none"/>
        </w:rPr>
        <w:t>投标人须知前附表</w:t>
      </w:r>
      <w:r>
        <w:rPr>
          <w:rFonts w:ascii="Times New Roman" w:hAnsi="Times New Roman" w:eastAsia="宋体" w:cs="Times New Roman"/>
          <w:color w:val="000000" w:themeColor="text1"/>
          <w:sz w:val="24"/>
          <w:szCs w:val="24"/>
          <w:highlight w:val="none"/>
        </w:rPr>
        <w:t>。如果正本与副本不符，以正本为准。</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14.4投标文件的正本必须用不退色的墨水填写或打印，注明“正本”字样。副本可以用复印件。</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14.5投标文件如果有涂改和增删，必须由同一人签署人（法定代表人或其授权委托代理人）签字或盖章方为有效。</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14.6 投标文件因字迹潦草或表达不清所引起的后果由投标人自行负责。</w:t>
      </w:r>
    </w:p>
    <w:p>
      <w:pPr>
        <w:jc w:val="center"/>
        <w:rPr>
          <w:rFonts w:ascii="Times New Roman" w:hAnsi="Times New Roman" w:eastAsia="宋体" w:cs="Times New Roman"/>
          <w:b/>
          <w:color w:val="000000" w:themeColor="text1"/>
          <w:sz w:val="28"/>
          <w:szCs w:val="32"/>
          <w:highlight w:val="none"/>
        </w:rPr>
      </w:pPr>
      <w:bookmarkStart w:id="60" w:name="_Toc370738931"/>
      <w:bookmarkStart w:id="61" w:name="_Toc356889611"/>
      <w:bookmarkStart w:id="62" w:name="_Toc370978601"/>
      <w:r>
        <w:rPr>
          <w:rFonts w:ascii="Times New Roman" w:hAnsi="Times New Roman" w:eastAsia="宋体" w:cs="Times New Roman"/>
          <w:b/>
          <w:color w:val="000000" w:themeColor="text1"/>
          <w:sz w:val="28"/>
          <w:szCs w:val="32"/>
          <w:highlight w:val="none"/>
        </w:rPr>
        <w:t>五、投标文件递交</w:t>
      </w:r>
      <w:bookmarkEnd w:id="60"/>
      <w:bookmarkEnd w:id="61"/>
      <w:bookmarkEnd w:id="62"/>
      <w:bookmarkStart w:id="63" w:name="_Toc370978602"/>
      <w:bookmarkStart w:id="64" w:name="_Toc370738932"/>
      <w:bookmarkStart w:id="65" w:name="_Toc356889612"/>
    </w:p>
    <w:p>
      <w:pPr>
        <w:spacing w:line="360" w:lineRule="auto"/>
        <w:rPr>
          <w:rFonts w:ascii="Times New Roman" w:hAnsi="Times New Roman" w:eastAsia="宋体" w:cs="Times New Roman"/>
          <w:b/>
          <w:color w:val="000000" w:themeColor="text1"/>
          <w:sz w:val="28"/>
          <w:szCs w:val="24"/>
          <w:highlight w:val="none"/>
        </w:rPr>
      </w:pPr>
      <w:r>
        <w:rPr>
          <w:rFonts w:ascii="Times New Roman" w:hAnsi="Times New Roman" w:eastAsia="宋体" w:cs="Times New Roman"/>
          <w:b/>
          <w:color w:val="000000" w:themeColor="text1"/>
          <w:sz w:val="28"/>
          <w:szCs w:val="24"/>
          <w:highlight w:val="none"/>
        </w:rPr>
        <w:t>15.投标文件的密封及标记</w:t>
      </w:r>
      <w:bookmarkEnd w:id="63"/>
      <w:bookmarkEnd w:id="64"/>
      <w:bookmarkEnd w:id="65"/>
    </w:p>
    <w:p>
      <w:pPr>
        <w:spacing w:line="360" w:lineRule="auto"/>
        <w:ind w:firstLine="480" w:firstLineChars="200"/>
        <w:rPr>
          <w:rFonts w:ascii="Times New Roman" w:hAnsi="Times New Roman" w:eastAsia="宋体" w:cs="Times New Roman"/>
          <w:color w:val="000000" w:themeColor="text1"/>
          <w:sz w:val="24"/>
          <w:szCs w:val="24"/>
          <w:highlight w:val="none"/>
        </w:rPr>
      </w:pPr>
      <w:bookmarkStart w:id="66" w:name="_Toc370738933"/>
      <w:bookmarkStart w:id="67" w:name="_Toc356889613"/>
      <w:bookmarkStart w:id="68" w:name="_Toc370978603"/>
      <w:r>
        <w:rPr>
          <w:rFonts w:ascii="Times New Roman" w:hAnsi="Times New Roman" w:eastAsia="宋体" w:cs="Times New Roman"/>
          <w:color w:val="000000" w:themeColor="text1"/>
          <w:sz w:val="24"/>
          <w:szCs w:val="24"/>
          <w:highlight w:val="none"/>
        </w:rPr>
        <w:t>15.1投标文件的正、副本标记：详见</w:t>
      </w:r>
      <w:r>
        <w:rPr>
          <w:rFonts w:ascii="Times New Roman" w:hAnsi="Times New Roman" w:eastAsia="宋体" w:cs="Times New Roman"/>
          <w:b/>
          <w:color w:val="000000" w:themeColor="text1"/>
          <w:sz w:val="24"/>
          <w:szCs w:val="24"/>
          <w:highlight w:val="none"/>
        </w:rPr>
        <w:t>投标人须知前附表</w:t>
      </w:r>
      <w:r>
        <w:rPr>
          <w:rFonts w:ascii="Times New Roman" w:hAnsi="Times New Roman" w:eastAsia="宋体" w:cs="Times New Roman"/>
          <w:color w:val="000000" w:themeColor="text1"/>
          <w:sz w:val="24"/>
          <w:szCs w:val="24"/>
          <w:highlight w:val="none"/>
        </w:rPr>
        <w:t>。</w:t>
      </w:r>
    </w:p>
    <w:p>
      <w:pPr>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15.2投标文件的密封和标注：详见</w:t>
      </w:r>
      <w:r>
        <w:rPr>
          <w:rFonts w:ascii="Times New Roman" w:hAnsi="Times New Roman" w:eastAsia="宋体" w:cs="Times New Roman"/>
          <w:b/>
          <w:color w:val="000000" w:themeColor="text1"/>
          <w:sz w:val="24"/>
          <w:szCs w:val="24"/>
          <w:highlight w:val="none"/>
        </w:rPr>
        <w:t>投标人须知前附表</w:t>
      </w:r>
      <w:r>
        <w:rPr>
          <w:rFonts w:ascii="Times New Roman" w:hAnsi="Times New Roman" w:eastAsia="宋体" w:cs="Times New Roman"/>
          <w:color w:val="000000" w:themeColor="text1"/>
          <w:sz w:val="24"/>
          <w:szCs w:val="24"/>
          <w:highlight w:val="none"/>
        </w:rPr>
        <w:t>。</w:t>
      </w:r>
    </w:p>
    <w:p>
      <w:pPr>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15.3如果投标人未按上述15.2要求密封并加写标记，将导致投标文件被拒收，招标人或招标代理机构对投标文件的误投和提前启封概不负责。</w:t>
      </w:r>
    </w:p>
    <w:p>
      <w:pPr>
        <w:spacing w:line="360" w:lineRule="auto"/>
        <w:rPr>
          <w:rFonts w:ascii="Times New Roman" w:hAnsi="Times New Roman" w:eastAsia="宋体" w:cs="Times New Roman"/>
          <w:b/>
          <w:color w:val="000000" w:themeColor="text1"/>
          <w:sz w:val="28"/>
          <w:szCs w:val="24"/>
          <w:highlight w:val="none"/>
        </w:rPr>
      </w:pPr>
      <w:r>
        <w:rPr>
          <w:rFonts w:ascii="Times New Roman" w:hAnsi="Times New Roman" w:eastAsia="宋体" w:cs="Times New Roman"/>
          <w:b/>
          <w:color w:val="000000" w:themeColor="text1"/>
          <w:sz w:val="28"/>
          <w:szCs w:val="24"/>
          <w:highlight w:val="none"/>
        </w:rPr>
        <w:t>16.投标截止时间</w:t>
      </w:r>
      <w:bookmarkEnd w:id="66"/>
      <w:bookmarkEnd w:id="67"/>
      <w:bookmarkEnd w:id="68"/>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16.1投标文件必须在</w:t>
      </w:r>
      <w:r>
        <w:rPr>
          <w:rFonts w:ascii="Times New Roman" w:hAnsi="Times New Roman" w:eastAsia="宋体" w:cs="Times New Roman"/>
          <w:b/>
          <w:color w:val="000000" w:themeColor="text1"/>
          <w:sz w:val="24"/>
          <w:szCs w:val="24"/>
          <w:highlight w:val="none"/>
        </w:rPr>
        <w:t>投标人须知前附表</w:t>
      </w:r>
      <w:r>
        <w:rPr>
          <w:rFonts w:ascii="Times New Roman" w:hAnsi="Times New Roman" w:eastAsia="宋体" w:cs="Times New Roman"/>
          <w:color w:val="000000" w:themeColor="text1"/>
          <w:sz w:val="24"/>
          <w:szCs w:val="24"/>
          <w:highlight w:val="none"/>
        </w:rPr>
        <w:t>规定的投标截止时间前派人送达至</w:t>
      </w:r>
      <w:r>
        <w:rPr>
          <w:rFonts w:ascii="Times New Roman" w:hAnsi="Times New Roman" w:eastAsia="宋体" w:cs="Times New Roman"/>
          <w:b/>
          <w:color w:val="000000" w:themeColor="text1"/>
          <w:sz w:val="24"/>
          <w:szCs w:val="24"/>
          <w:highlight w:val="none"/>
        </w:rPr>
        <w:t>投标人须知前附表</w:t>
      </w:r>
      <w:r>
        <w:rPr>
          <w:rFonts w:ascii="Times New Roman" w:hAnsi="Times New Roman" w:eastAsia="宋体" w:cs="Times New Roman"/>
          <w:color w:val="000000" w:themeColor="text1"/>
          <w:sz w:val="24"/>
          <w:szCs w:val="24"/>
          <w:highlight w:val="none"/>
        </w:rPr>
        <w:t>规定的投标文件递交地点。</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16.2在投标截止时间以后送达的投标文件，招标人或招标机构不受理。</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16.3投标产品样品的要求及递交：招标文件若要求投标人提供投标产品样品，应在投标人须知前附表中明确样品的规格及数量，样品提交时间、地点，以及样品的包装、标记及处置方式。</w:t>
      </w:r>
    </w:p>
    <w:p>
      <w:pPr>
        <w:spacing w:line="360" w:lineRule="auto"/>
        <w:rPr>
          <w:rFonts w:ascii="Times New Roman" w:hAnsi="Times New Roman" w:eastAsia="宋体" w:cs="Times New Roman"/>
          <w:b/>
          <w:color w:val="000000" w:themeColor="text1"/>
          <w:sz w:val="28"/>
          <w:szCs w:val="24"/>
          <w:highlight w:val="none"/>
        </w:rPr>
      </w:pPr>
      <w:bookmarkStart w:id="69" w:name="_Toc370978604"/>
      <w:bookmarkStart w:id="70" w:name="_Toc356889614"/>
      <w:bookmarkStart w:id="71" w:name="_Toc370738934"/>
      <w:r>
        <w:rPr>
          <w:rFonts w:ascii="Times New Roman" w:hAnsi="Times New Roman" w:eastAsia="宋体" w:cs="Times New Roman"/>
          <w:b/>
          <w:color w:val="000000" w:themeColor="text1"/>
          <w:sz w:val="28"/>
          <w:szCs w:val="24"/>
          <w:highlight w:val="none"/>
        </w:rPr>
        <w:t>17.投标文件的修改和撤回</w:t>
      </w:r>
      <w:bookmarkEnd w:id="69"/>
      <w:bookmarkEnd w:id="70"/>
      <w:bookmarkEnd w:id="71"/>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17.1投标截止时间以前，投标人可以修改或撤回己递交的投标文件，但应以书面形式通知招标人或招标机构。招标人或招标机构收到书面材料后，向投标人出具签收凭证。</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17.2投标人修改或撒回己递交的投标文件的书面材料，须按本章14.2、15.1的要求签字、盖章、密封、标记，派人送达</w:t>
      </w:r>
      <w:r>
        <w:rPr>
          <w:rFonts w:ascii="Times New Roman" w:hAnsi="Times New Roman" w:eastAsia="宋体" w:cs="Times New Roman"/>
          <w:b/>
          <w:color w:val="000000" w:themeColor="text1"/>
          <w:sz w:val="24"/>
          <w:szCs w:val="24"/>
          <w:highlight w:val="none"/>
        </w:rPr>
        <w:t>投标人须知前附表</w:t>
      </w:r>
      <w:r>
        <w:rPr>
          <w:rFonts w:ascii="Times New Roman" w:hAnsi="Times New Roman" w:eastAsia="宋体" w:cs="Times New Roman"/>
          <w:color w:val="000000" w:themeColor="text1"/>
          <w:sz w:val="24"/>
          <w:szCs w:val="24"/>
          <w:highlight w:val="none"/>
        </w:rPr>
        <w:t>指定的地点，并标明“修改”或“撒回”字样。</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17.3开标后，投标人不得修改或撤回投标文件。否则，修改的投标文件无效；撒回投标文件的其投标保证金不予退还。</w:t>
      </w:r>
    </w:p>
    <w:p>
      <w:pPr>
        <w:jc w:val="center"/>
        <w:rPr>
          <w:rFonts w:ascii="Times New Roman" w:hAnsi="Times New Roman" w:eastAsia="宋体" w:cs="Times New Roman"/>
          <w:b/>
          <w:color w:val="000000" w:themeColor="text1"/>
          <w:sz w:val="28"/>
          <w:szCs w:val="32"/>
          <w:highlight w:val="none"/>
        </w:rPr>
      </w:pPr>
      <w:bookmarkStart w:id="72" w:name="_Toc356889615"/>
      <w:bookmarkStart w:id="73" w:name="_Toc370738935"/>
      <w:bookmarkStart w:id="74" w:name="_Toc370978605"/>
      <w:r>
        <w:rPr>
          <w:rFonts w:ascii="Times New Roman" w:hAnsi="Times New Roman" w:eastAsia="宋体" w:cs="Times New Roman"/>
          <w:b/>
          <w:color w:val="000000" w:themeColor="text1"/>
          <w:sz w:val="28"/>
          <w:szCs w:val="32"/>
          <w:highlight w:val="none"/>
        </w:rPr>
        <w:t>六、开标及评标</w:t>
      </w:r>
      <w:bookmarkEnd w:id="72"/>
      <w:bookmarkEnd w:id="73"/>
      <w:bookmarkEnd w:id="74"/>
      <w:bookmarkStart w:id="75" w:name="_Toc370738936"/>
      <w:bookmarkStart w:id="76" w:name="_Toc370978606"/>
      <w:bookmarkStart w:id="77" w:name="_Toc356889616"/>
    </w:p>
    <w:p>
      <w:pPr>
        <w:spacing w:line="360" w:lineRule="auto"/>
        <w:rPr>
          <w:rFonts w:ascii="Times New Roman" w:hAnsi="Times New Roman" w:eastAsia="宋体" w:cs="Times New Roman"/>
          <w:b/>
          <w:color w:val="000000" w:themeColor="text1"/>
          <w:sz w:val="28"/>
          <w:szCs w:val="24"/>
          <w:highlight w:val="none"/>
        </w:rPr>
      </w:pPr>
      <w:r>
        <w:rPr>
          <w:rFonts w:ascii="Times New Roman" w:hAnsi="Times New Roman" w:eastAsia="宋体" w:cs="Times New Roman"/>
          <w:b/>
          <w:color w:val="000000" w:themeColor="text1"/>
          <w:sz w:val="28"/>
          <w:szCs w:val="24"/>
          <w:highlight w:val="none"/>
        </w:rPr>
        <w:t>18.开标</w:t>
      </w:r>
      <w:bookmarkEnd w:id="75"/>
      <w:bookmarkEnd w:id="76"/>
      <w:bookmarkEnd w:id="77"/>
    </w:p>
    <w:p>
      <w:pPr>
        <w:autoSpaceDE w:val="0"/>
        <w:autoSpaceDN w:val="0"/>
        <w:spacing w:line="360" w:lineRule="auto"/>
        <w:ind w:firstLine="480" w:firstLineChars="200"/>
        <w:jc w:val="left"/>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18.1 开标时间及地点：</w:t>
      </w:r>
    </w:p>
    <w:p>
      <w:pPr>
        <w:autoSpaceDE w:val="0"/>
        <w:autoSpaceDN w:val="0"/>
        <w:spacing w:line="360" w:lineRule="auto"/>
        <w:ind w:firstLine="480" w:firstLineChars="200"/>
        <w:jc w:val="left"/>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招标人或招标机构按招标文件</w:t>
      </w:r>
      <w:r>
        <w:rPr>
          <w:rFonts w:ascii="Times New Roman" w:hAnsi="Times New Roman" w:eastAsia="宋体" w:cs="Times New Roman"/>
          <w:b/>
          <w:color w:val="000000" w:themeColor="text1"/>
          <w:sz w:val="24"/>
          <w:szCs w:val="24"/>
          <w:highlight w:val="none"/>
        </w:rPr>
        <w:t>投标人须知前附表</w:t>
      </w:r>
      <w:r>
        <w:rPr>
          <w:rFonts w:ascii="Times New Roman" w:hAnsi="Times New Roman" w:eastAsia="宋体" w:cs="Times New Roman"/>
          <w:color w:val="000000" w:themeColor="text1"/>
          <w:sz w:val="24"/>
          <w:szCs w:val="24"/>
          <w:highlight w:val="none"/>
        </w:rPr>
        <w:t>规定的开标时间、开标地点公开开标。并邀请所有投标人的法定代表人或其授权代表准时参加。</w:t>
      </w:r>
    </w:p>
    <w:p>
      <w:pPr>
        <w:autoSpaceDE w:val="0"/>
        <w:autoSpaceDN w:val="0"/>
        <w:spacing w:line="360" w:lineRule="auto"/>
        <w:ind w:firstLine="480" w:firstLineChars="200"/>
        <w:jc w:val="left"/>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18.2开标程序：</w:t>
      </w:r>
    </w:p>
    <w:p>
      <w:pPr>
        <w:autoSpaceDE w:val="0"/>
        <w:autoSpaceDN w:val="0"/>
        <w:spacing w:line="360" w:lineRule="auto"/>
        <w:ind w:firstLine="480" w:firstLineChars="200"/>
        <w:jc w:val="left"/>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主持人按下列程序开标：</w:t>
      </w:r>
    </w:p>
    <w:p>
      <w:pPr>
        <w:numPr>
          <w:ilvl w:val="0"/>
          <w:numId w:val="8"/>
        </w:numPr>
        <w:autoSpaceDE w:val="0"/>
        <w:autoSpaceDN w:val="0"/>
        <w:spacing w:line="360" w:lineRule="auto"/>
        <w:ind w:firstLine="480" w:firstLineChars="200"/>
        <w:jc w:val="left"/>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宣布开标纪律;</w:t>
      </w:r>
    </w:p>
    <w:p>
      <w:pPr>
        <w:numPr>
          <w:ilvl w:val="0"/>
          <w:numId w:val="8"/>
        </w:numPr>
        <w:autoSpaceDE w:val="0"/>
        <w:autoSpaceDN w:val="0"/>
        <w:spacing w:line="360" w:lineRule="auto"/>
        <w:ind w:firstLine="480" w:firstLineChars="200"/>
        <w:jc w:val="left"/>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公布在投标截止时间前递交投标文件的投标人名称,并点名确认投标人是否派人到场;</w:t>
      </w:r>
    </w:p>
    <w:p>
      <w:pPr>
        <w:numPr>
          <w:ilvl w:val="0"/>
          <w:numId w:val="8"/>
        </w:numPr>
        <w:autoSpaceDE w:val="0"/>
        <w:autoSpaceDN w:val="0"/>
        <w:spacing w:line="360" w:lineRule="auto"/>
        <w:ind w:firstLine="480" w:firstLineChars="200"/>
        <w:jc w:val="left"/>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宣布开标人、唱标人、记录人、监标人等有关人员姓名;</w:t>
      </w:r>
    </w:p>
    <w:p>
      <w:pPr>
        <w:numPr>
          <w:ilvl w:val="0"/>
          <w:numId w:val="8"/>
        </w:numPr>
        <w:autoSpaceDE w:val="0"/>
        <w:autoSpaceDN w:val="0"/>
        <w:spacing w:line="360" w:lineRule="auto"/>
        <w:ind w:firstLine="480" w:firstLineChars="200"/>
        <w:jc w:val="left"/>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按照</w:t>
      </w:r>
      <w:r>
        <w:rPr>
          <w:rFonts w:ascii="Times New Roman" w:hAnsi="Times New Roman" w:eastAsia="宋体" w:cs="Times New Roman"/>
          <w:b/>
          <w:color w:val="000000" w:themeColor="text1"/>
          <w:sz w:val="24"/>
          <w:szCs w:val="24"/>
          <w:highlight w:val="none"/>
        </w:rPr>
        <w:t>投标人须知前附表</w:t>
      </w:r>
      <w:r>
        <w:rPr>
          <w:rFonts w:ascii="Times New Roman" w:hAnsi="Times New Roman" w:eastAsia="宋体" w:cs="Times New Roman"/>
          <w:color w:val="000000" w:themeColor="text1"/>
          <w:sz w:val="24"/>
          <w:szCs w:val="24"/>
          <w:highlight w:val="none"/>
        </w:rPr>
        <w:t>规定检查投标文件密封情况,并作好检查记录;</w:t>
      </w:r>
    </w:p>
    <w:p>
      <w:pPr>
        <w:numPr>
          <w:ilvl w:val="0"/>
          <w:numId w:val="8"/>
        </w:numPr>
        <w:autoSpaceDE w:val="0"/>
        <w:autoSpaceDN w:val="0"/>
        <w:spacing w:line="360" w:lineRule="auto"/>
        <w:ind w:firstLine="480" w:firstLineChars="200"/>
        <w:jc w:val="left"/>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按照</w:t>
      </w:r>
      <w:r>
        <w:rPr>
          <w:rFonts w:ascii="Times New Roman" w:hAnsi="Times New Roman" w:eastAsia="宋体" w:cs="Times New Roman"/>
          <w:b/>
          <w:color w:val="000000" w:themeColor="text1"/>
          <w:sz w:val="24"/>
          <w:szCs w:val="24"/>
          <w:highlight w:val="none"/>
        </w:rPr>
        <w:t>投标人须知前附表</w:t>
      </w:r>
      <w:r>
        <w:rPr>
          <w:rFonts w:ascii="Times New Roman" w:hAnsi="Times New Roman" w:eastAsia="宋体" w:cs="Times New Roman"/>
          <w:color w:val="000000" w:themeColor="text1"/>
          <w:sz w:val="24"/>
          <w:szCs w:val="24"/>
          <w:highlight w:val="none"/>
        </w:rPr>
        <w:t>规定的随机当众开标,公布《投标函》规定的内容</w:t>
      </w:r>
      <w:r>
        <w:rPr>
          <w:rFonts w:hint="eastAsia" w:ascii="宋体" w:hAnsi="宋体" w:eastAsia="宋体" w:cs="宋体"/>
          <w:color w:val="000000" w:themeColor="text1"/>
          <w:sz w:val="24"/>
          <w:szCs w:val="24"/>
          <w:highlight w:val="none"/>
        </w:rPr>
        <w:t>∶</w:t>
      </w:r>
      <w:r>
        <w:rPr>
          <w:rFonts w:ascii="Times New Roman" w:hAnsi="Times New Roman" w:eastAsia="宋体" w:cs="Times New Roman"/>
          <w:color w:val="000000" w:themeColor="text1"/>
          <w:sz w:val="24"/>
          <w:szCs w:val="24"/>
          <w:highlight w:val="none"/>
        </w:rPr>
        <w:t>投标人名称、投标报价等。</w:t>
      </w:r>
    </w:p>
    <w:p>
      <w:pPr>
        <w:numPr>
          <w:ilvl w:val="0"/>
          <w:numId w:val="8"/>
        </w:numPr>
        <w:autoSpaceDE w:val="0"/>
        <w:autoSpaceDN w:val="0"/>
        <w:spacing w:line="360" w:lineRule="auto"/>
        <w:ind w:firstLine="480" w:firstLineChars="200"/>
        <w:jc w:val="left"/>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投标人对开标有异议的，应当在开标现场提出。招标人或招标机构将当场作出答复，并制作记录。</w:t>
      </w:r>
    </w:p>
    <w:p>
      <w:pPr>
        <w:numPr>
          <w:ilvl w:val="0"/>
          <w:numId w:val="8"/>
        </w:numPr>
        <w:autoSpaceDE w:val="0"/>
        <w:autoSpaceDN w:val="0"/>
        <w:spacing w:line="360" w:lineRule="auto"/>
        <w:ind w:firstLine="480" w:firstLineChars="200"/>
        <w:jc w:val="left"/>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投标人代表、招标人代表、监标人、记录人等有关人员在《开标记录》上签字确认;</w:t>
      </w:r>
    </w:p>
    <w:p>
      <w:pPr>
        <w:numPr>
          <w:ilvl w:val="0"/>
          <w:numId w:val="8"/>
        </w:numPr>
        <w:autoSpaceDE w:val="0"/>
        <w:autoSpaceDN w:val="0"/>
        <w:spacing w:line="360" w:lineRule="auto"/>
        <w:ind w:firstLine="480" w:firstLineChars="200"/>
        <w:jc w:val="left"/>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开标会结束。</w:t>
      </w:r>
    </w:p>
    <w:p>
      <w:pPr>
        <w:spacing w:line="360" w:lineRule="auto"/>
        <w:rPr>
          <w:rFonts w:ascii="Times New Roman" w:hAnsi="Times New Roman" w:eastAsia="宋体" w:cs="Times New Roman"/>
          <w:b/>
          <w:color w:val="000000" w:themeColor="text1"/>
          <w:sz w:val="28"/>
          <w:szCs w:val="24"/>
          <w:highlight w:val="none"/>
        </w:rPr>
      </w:pPr>
      <w:bookmarkStart w:id="78" w:name="_Toc370978607"/>
      <w:bookmarkStart w:id="79" w:name="_Toc370738937"/>
      <w:bookmarkStart w:id="80" w:name="_Toc356889617"/>
      <w:r>
        <w:rPr>
          <w:rFonts w:ascii="Times New Roman" w:hAnsi="Times New Roman" w:eastAsia="宋体" w:cs="Times New Roman"/>
          <w:b/>
          <w:color w:val="000000" w:themeColor="text1"/>
          <w:sz w:val="28"/>
          <w:szCs w:val="24"/>
          <w:highlight w:val="none"/>
        </w:rPr>
        <w:t>19.评标</w:t>
      </w:r>
      <w:bookmarkEnd w:id="78"/>
      <w:bookmarkEnd w:id="79"/>
      <w:bookmarkEnd w:id="80"/>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19.1评标委员会</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19.1.1评标由招标人依法组建的评标委员会负责。评标委员会人数及成员的确定方式，按照</w:t>
      </w:r>
      <w:r>
        <w:rPr>
          <w:rFonts w:ascii="Times New Roman" w:hAnsi="Times New Roman" w:eastAsia="宋体" w:cs="Times New Roman"/>
          <w:b/>
          <w:color w:val="000000" w:themeColor="text1"/>
          <w:sz w:val="24"/>
          <w:szCs w:val="24"/>
          <w:highlight w:val="none"/>
        </w:rPr>
        <w:t>投标人须知前附表</w:t>
      </w:r>
      <w:r>
        <w:rPr>
          <w:rFonts w:ascii="Times New Roman" w:hAnsi="Times New Roman" w:eastAsia="宋体" w:cs="Times New Roman"/>
          <w:color w:val="000000" w:themeColor="text1"/>
          <w:sz w:val="24"/>
          <w:szCs w:val="24"/>
          <w:highlight w:val="none"/>
        </w:rPr>
        <w:t>的相关规定，在开标前从评标专家库中随机抽取有关技术、经济等方面的专家组成。</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19.1.2评标委员会成员有下列情形之一的，应当回避：</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（1）招标人或投标人的主要负责人的近亲属；</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（2）项目主管部门或者行政监督部门的人员；</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（3）与投标人有经济利益关系，可能影响对投标公正评审的；</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（4）曾因在招标、评标以及其他与招标投标有关活动中从事违法行为而受过行政处罚或刑事处罚的。</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19.1.3招标人应当向评标委员会提供评标所必需的信息，包括项目概况及需求，招标文件编制和评标办法设置等情况。但不得明示或者暗示其倾向或者排斥特定投标人。</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19.1.4招标人应当根据项目规模和技术复杂程度等因素合理确定评标时间。超过三分之一的评标委员会成员认为评标时间不够的，招标人应当适当延长。</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19.1.5评标过程中，评标委员会成员有回避事由、擅离职守或者因健康等原因不能继续评标的，应当及时更换。被更换的评标委员会成员作出的评审结论无效，由更换后的评标委员会成员重新进行评审。</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19.2评标原则</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评标原则遵循公平、公正、科学和择优的原则。</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19.3评标方法</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评标委员会按照第三章规定的评标方法、评审因素、评标标准和评标程序对投标文件进行评审。第三章“评标方法”没有载明的评审因素、方法和标准，不得作为评标依据。</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19.4评标澄清</w:t>
      </w:r>
    </w:p>
    <w:p>
      <w:pPr>
        <w:autoSpaceDE w:val="0"/>
        <w:autoSpaceDN w:val="0"/>
        <w:spacing w:line="360" w:lineRule="auto"/>
        <w:ind w:firstLine="480" w:firstLineChars="200"/>
        <w:rPr>
          <w:rFonts w:ascii="Times New Roman" w:hAnsi="Times New Roman" w:eastAsia="宋体" w:cs="Times New Roman"/>
          <w:color w:val="000000" w:themeColor="text1"/>
          <w:kern w:val="0"/>
          <w:sz w:val="24"/>
          <w:szCs w:val="24"/>
          <w:highlight w:val="none"/>
        </w:rPr>
      </w:pPr>
      <w:r>
        <w:rPr>
          <w:rFonts w:ascii="Times New Roman" w:hAnsi="Times New Roman" w:eastAsia="宋体" w:cs="Times New Roman"/>
          <w:color w:val="000000" w:themeColor="text1"/>
          <w:kern w:val="0"/>
          <w:sz w:val="24"/>
          <w:szCs w:val="24"/>
          <w:highlight w:val="none"/>
        </w:rPr>
        <w:t>在评标期间，评标委员会可要求投标人对其投标文件进行澄清，但不得寻求提供或允许对投标价格等实质性内容做任何更改。有关澄清的要求和答复均应以书面形式提交。评标委员会不接受投标人主动提出的澄清、说明。</w:t>
      </w:r>
    </w:p>
    <w:p>
      <w:pPr>
        <w:autoSpaceDE w:val="0"/>
        <w:autoSpaceDN w:val="0"/>
        <w:spacing w:line="360" w:lineRule="auto"/>
        <w:ind w:firstLine="480" w:firstLineChars="200"/>
        <w:rPr>
          <w:rFonts w:ascii="Times New Roman" w:hAnsi="Times New Roman" w:eastAsia="宋体" w:cs="Times New Roman"/>
          <w:color w:val="000000" w:themeColor="text1"/>
          <w:kern w:val="0"/>
          <w:sz w:val="24"/>
          <w:szCs w:val="24"/>
          <w:highlight w:val="none"/>
        </w:rPr>
      </w:pPr>
      <w:r>
        <w:rPr>
          <w:rFonts w:ascii="Times New Roman" w:hAnsi="Times New Roman" w:eastAsia="宋体" w:cs="Times New Roman"/>
          <w:color w:val="000000" w:themeColor="text1"/>
          <w:sz w:val="24"/>
          <w:szCs w:val="24"/>
          <w:highlight w:val="none"/>
        </w:rPr>
        <w:t>19.5</w:t>
      </w:r>
      <w:r>
        <w:rPr>
          <w:rFonts w:ascii="Times New Roman" w:hAnsi="Times New Roman" w:eastAsia="宋体" w:cs="Times New Roman"/>
          <w:color w:val="000000" w:themeColor="text1"/>
          <w:kern w:val="0"/>
          <w:sz w:val="24"/>
          <w:szCs w:val="24"/>
          <w:highlight w:val="none"/>
        </w:rPr>
        <w:t>中标候选人的推荐方法</w:t>
      </w:r>
    </w:p>
    <w:p>
      <w:pPr>
        <w:autoSpaceDE w:val="0"/>
        <w:autoSpaceDN w:val="0"/>
        <w:spacing w:line="360" w:lineRule="auto"/>
        <w:ind w:firstLine="480" w:firstLineChars="200"/>
        <w:rPr>
          <w:rFonts w:ascii="Times New Roman" w:hAnsi="Times New Roman" w:eastAsia="宋体" w:cs="Times New Roman"/>
          <w:color w:val="000000" w:themeColor="text1"/>
          <w:kern w:val="0"/>
          <w:sz w:val="24"/>
          <w:szCs w:val="24"/>
          <w:highlight w:val="none"/>
        </w:rPr>
      </w:pPr>
      <w:r>
        <w:rPr>
          <w:rFonts w:ascii="Times New Roman" w:hAnsi="Times New Roman" w:eastAsia="宋体" w:cs="Times New Roman"/>
          <w:color w:val="000000" w:themeColor="text1"/>
          <w:kern w:val="0"/>
          <w:sz w:val="24"/>
          <w:szCs w:val="24"/>
          <w:highlight w:val="none"/>
        </w:rPr>
        <w:t>根据招标文件第三章载明的评标方法，由评标委员会按照综合评价得分由高到低排序，或评标价格由低到高排序，推荐前三名为中标候选人。也可根据招标人授权，由评委会直接确定中标人。</w:t>
      </w:r>
    </w:p>
    <w:p>
      <w:pPr>
        <w:spacing w:line="360" w:lineRule="auto"/>
        <w:jc w:val="center"/>
        <w:rPr>
          <w:rFonts w:ascii="Times New Roman" w:hAnsi="Times New Roman" w:eastAsia="宋体" w:cs="Times New Roman"/>
          <w:b/>
          <w:color w:val="000000" w:themeColor="text1"/>
          <w:sz w:val="28"/>
          <w:szCs w:val="24"/>
          <w:highlight w:val="none"/>
        </w:rPr>
      </w:pPr>
      <w:r>
        <w:rPr>
          <w:rFonts w:ascii="Times New Roman" w:hAnsi="Times New Roman" w:eastAsia="宋体" w:cs="Times New Roman"/>
          <w:b/>
          <w:color w:val="000000" w:themeColor="text1"/>
          <w:sz w:val="28"/>
          <w:szCs w:val="24"/>
          <w:highlight w:val="none"/>
        </w:rPr>
        <w:t>七、评标结果及定标</w:t>
      </w:r>
    </w:p>
    <w:p>
      <w:pPr>
        <w:spacing w:line="360" w:lineRule="auto"/>
        <w:rPr>
          <w:rFonts w:ascii="Times New Roman" w:hAnsi="Times New Roman" w:eastAsia="宋体" w:cs="Times New Roman"/>
          <w:b/>
          <w:color w:val="000000" w:themeColor="text1"/>
          <w:sz w:val="28"/>
          <w:szCs w:val="24"/>
          <w:highlight w:val="none"/>
        </w:rPr>
      </w:pPr>
      <w:r>
        <w:rPr>
          <w:rFonts w:ascii="Times New Roman" w:hAnsi="Times New Roman" w:eastAsia="宋体" w:cs="Times New Roman"/>
          <w:b/>
          <w:color w:val="000000" w:themeColor="text1"/>
          <w:sz w:val="28"/>
          <w:szCs w:val="24"/>
          <w:highlight w:val="none"/>
        </w:rPr>
        <w:t>20.</w:t>
      </w:r>
      <w:r>
        <w:rPr>
          <w:rFonts w:hint="eastAsia" w:ascii="Times New Roman" w:hAnsi="Times New Roman" w:eastAsia="宋体" w:cs="Times New Roman"/>
          <w:b/>
          <w:color w:val="000000" w:themeColor="text1"/>
          <w:sz w:val="28"/>
          <w:szCs w:val="24"/>
          <w:highlight w:val="none"/>
        </w:rPr>
        <w:t>评标结果公示</w:t>
      </w:r>
    </w:p>
    <w:p>
      <w:pPr>
        <w:widowControl/>
        <w:spacing w:line="300" w:lineRule="auto"/>
        <w:ind w:firstLine="480" w:firstLineChars="200"/>
        <w:rPr>
          <w:rFonts w:ascii="宋体" w:hAnsi="宋体" w:eastAsia="宋体" w:cs="Times New Roman"/>
          <w:color w:val="000000" w:themeColor="text1"/>
          <w:sz w:val="24"/>
          <w:szCs w:val="24"/>
          <w:highlight w:val="none"/>
        </w:rPr>
      </w:pPr>
      <w:r>
        <w:rPr>
          <w:rFonts w:ascii="宋体" w:hAnsi="宋体" w:eastAsia="宋体" w:cs="Times New Roman"/>
          <w:color w:val="000000" w:themeColor="text1"/>
          <w:sz w:val="24"/>
          <w:szCs w:val="24"/>
          <w:highlight w:val="none"/>
        </w:rPr>
        <w:t>20.1</w:t>
      </w:r>
      <w:r>
        <w:rPr>
          <w:rFonts w:hint="eastAsia" w:ascii="宋体" w:hAnsi="宋体" w:eastAsia="宋体" w:cs="Times New Roman"/>
          <w:color w:val="000000" w:themeColor="text1"/>
          <w:sz w:val="24"/>
          <w:szCs w:val="24"/>
          <w:highlight w:val="none"/>
        </w:rPr>
        <w:t>招标人公示中标候选人，详见</w:t>
      </w:r>
      <w:r>
        <w:rPr>
          <w:rFonts w:hint="eastAsia" w:ascii="宋体" w:hAnsi="宋体" w:eastAsia="宋体" w:cs="Times New Roman"/>
          <w:b/>
          <w:color w:val="000000" w:themeColor="text1"/>
          <w:sz w:val="24"/>
          <w:szCs w:val="24"/>
          <w:highlight w:val="none"/>
        </w:rPr>
        <w:t>投标人须知前附表</w:t>
      </w:r>
      <w:r>
        <w:rPr>
          <w:rFonts w:hint="eastAsia" w:ascii="宋体" w:hAnsi="宋体" w:eastAsia="宋体" w:cs="Times New Roman"/>
          <w:color w:val="000000" w:themeColor="text1"/>
          <w:sz w:val="24"/>
          <w:szCs w:val="24"/>
          <w:highlight w:val="none"/>
        </w:rPr>
        <w:t>。</w:t>
      </w:r>
    </w:p>
    <w:p>
      <w:pPr>
        <w:widowControl/>
        <w:spacing w:line="300" w:lineRule="auto"/>
        <w:ind w:firstLine="480" w:firstLineChars="200"/>
        <w:rPr>
          <w:rFonts w:ascii="宋体" w:hAnsi="宋体" w:eastAsia="宋体" w:cs="Times New Roman"/>
          <w:color w:val="000000" w:themeColor="text1"/>
          <w:sz w:val="24"/>
          <w:szCs w:val="24"/>
          <w:highlight w:val="none"/>
        </w:rPr>
      </w:pPr>
      <w:r>
        <w:rPr>
          <w:rFonts w:ascii="宋体" w:hAnsi="宋体" w:eastAsia="宋体" w:cs="Times New Roman"/>
          <w:color w:val="000000" w:themeColor="text1"/>
          <w:sz w:val="24"/>
          <w:szCs w:val="24"/>
          <w:highlight w:val="none"/>
        </w:rPr>
        <w:t>20.2</w:t>
      </w:r>
      <w:r>
        <w:rPr>
          <w:rFonts w:hint="eastAsia" w:ascii="宋体" w:hAnsi="宋体" w:eastAsia="宋体" w:cs="Times New Roman"/>
          <w:color w:val="000000" w:themeColor="text1"/>
          <w:sz w:val="24"/>
          <w:szCs w:val="24"/>
          <w:highlight w:val="none"/>
        </w:rPr>
        <w:t>投标人或者其他利害关系人对依法必须进行招标的项目的评标结果有异议的，应当在中标候选人公示期间提出。招标人应当自收到异议之日起</w:t>
      </w:r>
      <w:r>
        <w:rPr>
          <w:rFonts w:ascii="宋体" w:hAnsi="宋体" w:eastAsia="宋体" w:cs="Times New Roman"/>
          <w:color w:val="000000" w:themeColor="text1"/>
          <w:sz w:val="24"/>
          <w:szCs w:val="24"/>
          <w:highlight w:val="none"/>
        </w:rPr>
        <w:t>3</w:t>
      </w:r>
      <w:r>
        <w:rPr>
          <w:rFonts w:hint="eastAsia" w:ascii="宋体" w:hAnsi="宋体" w:eastAsia="宋体" w:cs="Times New Roman"/>
          <w:color w:val="000000" w:themeColor="text1"/>
          <w:sz w:val="24"/>
          <w:szCs w:val="24"/>
          <w:highlight w:val="none"/>
        </w:rPr>
        <w:t>日内作出答复；作出答复前，应当暂停招标投标活动。</w:t>
      </w:r>
    </w:p>
    <w:p>
      <w:pPr>
        <w:spacing w:line="360" w:lineRule="auto"/>
        <w:rPr>
          <w:rFonts w:ascii="Times New Roman" w:hAnsi="Times New Roman" w:eastAsia="宋体" w:cs="Times New Roman"/>
          <w:b/>
          <w:color w:val="000000" w:themeColor="text1"/>
          <w:sz w:val="28"/>
          <w:szCs w:val="24"/>
          <w:highlight w:val="none"/>
        </w:rPr>
      </w:pPr>
      <w:r>
        <w:rPr>
          <w:rFonts w:ascii="Times New Roman" w:hAnsi="Times New Roman" w:eastAsia="宋体" w:cs="Times New Roman"/>
          <w:b/>
          <w:color w:val="000000" w:themeColor="text1"/>
          <w:sz w:val="28"/>
          <w:szCs w:val="24"/>
          <w:highlight w:val="none"/>
        </w:rPr>
        <w:t>21.</w:t>
      </w:r>
      <w:r>
        <w:rPr>
          <w:rFonts w:hint="eastAsia" w:ascii="Times New Roman" w:hAnsi="Times New Roman" w:eastAsia="宋体" w:cs="Times New Roman"/>
          <w:b/>
          <w:color w:val="000000" w:themeColor="text1"/>
          <w:sz w:val="28"/>
          <w:szCs w:val="24"/>
          <w:highlight w:val="none"/>
        </w:rPr>
        <w:t>定标</w:t>
      </w:r>
    </w:p>
    <w:p>
      <w:pPr>
        <w:rPr>
          <w:rFonts w:ascii="宋体" w:hAnsi="宋体" w:eastAsia="宋体" w:cs="Times New Roman"/>
          <w:color w:val="000000" w:themeColor="text1"/>
          <w:sz w:val="24"/>
          <w:szCs w:val="24"/>
          <w:highlight w:val="none"/>
        </w:rPr>
      </w:pPr>
      <w:r>
        <w:rPr>
          <w:rFonts w:hint="eastAsia" w:ascii="宋体" w:hAnsi="宋体" w:eastAsia="宋体" w:cs="Times New Roman"/>
          <w:color w:val="000000" w:themeColor="text1"/>
          <w:sz w:val="24"/>
          <w:szCs w:val="24"/>
          <w:highlight w:val="none"/>
        </w:rPr>
        <w:t>详见</w:t>
      </w:r>
      <w:r>
        <w:rPr>
          <w:rFonts w:hint="eastAsia" w:ascii="宋体" w:hAnsi="宋体" w:eastAsia="宋体" w:cs="Times New Roman"/>
          <w:b/>
          <w:color w:val="000000" w:themeColor="text1"/>
          <w:sz w:val="24"/>
          <w:szCs w:val="24"/>
          <w:highlight w:val="none"/>
        </w:rPr>
        <w:t>投标人须知前附表</w:t>
      </w:r>
      <w:r>
        <w:rPr>
          <w:rFonts w:hint="eastAsia" w:ascii="宋体" w:hAnsi="宋体" w:eastAsia="宋体" w:cs="Times New Roman"/>
          <w:color w:val="000000" w:themeColor="text1"/>
          <w:sz w:val="24"/>
          <w:szCs w:val="24"/>
          <w:highlight w:val="none"/>
        </w:rPr>
        <w:t>。</w:t>
      </w:r>
      <w:bookmarkStart w:id="81" w:name="_Toc370738941"/>
      <w:bookmarkStart w:id="82" w:name="_Toc370978611"/>
      <w:bookmarkStart w:id="83" w:name="_Toc356889621"/>
    </w:p>
    <w:p>
      <w:pPr>
        <w:jc w:val="center"/>
        <w:rPr>
          <w:rFonts w:ascii="Times New Roman" w:hAnsi="Times New Roman" w:eastAsia="宋体" w:cs="Times New Roman"/>
          <w:b/>
          <w:color w:val="000000" w:themeColor="text1"/>
          <w:sz w:val="28"/>
          <w:szCs w:val="32"/>
          <w:highlight w:val="none"/>
        </w:rPr>
      </w:pPr>
      <w:r>
        <w:rPr>
          <w:rFonts w:ascii="Times New Roman" w:hAnsi="Times New Roman" w:eastAsia="宋体" w:cs="Times New Roman"/>
          <w:b/>
          <w:color w:val="000000" w:themeColor="text1"/>
          <w:sz w:val="28"/>
          <w:szCs w:val="32"/>
          <w:highlight w:val="none"/>
        </w:rPr>
        <w:t>八、授予合同</w:t>
      </w:r>
      <w:bookmarkEnd w:id="81"/>
      <w:bookmarkEnd w:id="82"/>
      <w:bookmarkEnd w:id="83"/>
      <w:bookmarkStart w:id="84" w:name="_Toc356889622"/>
      <w:bookmarkStart w:id="85" w:name="_Toc370738942"/>
      <w:bookmarkStart w:id="86" w:name="_Toc370978612"/>
    </w:p>
    <w:p>
      <w:pPr>
        <w:spacing w:line="360" w:lineRule="auto"/>
        <w:rPr>
          <w:rFonts w:ascii="Times New Roman" w:hAnsi="Times New Roman" w:eastAsia="宋体" w:cs="Times New Roman"/>
          <w:b/>
          <w:color w:val="000000" w:themeColor="text1"/>
          <w:sz w:val="28"/>
          <w:szCs w:val="24"/>
          <w:highlight w:val="none"/>
        </w:rPr>
      </w:pPr>
      <w:r>
        <w:rPr>
          <w:rFonts w:ascii="Times New Roman" w:hAnsi="Times New Roman" w:eastAsia="宋体" w:cs="Times New Roman"/>
          <w:b/>
          <w:color w:val="000000" w:themeColor="text1"/>
          <w:sz w:val="28"/>
          <w:szCs w:val="24"/>
          <w:highlight w:val="none"/>
        </w:rPr>
        <w:t>22.中标通知书</w:t>
      </w:r>
    </w:p>
    <w:p>
      <w:pPr>
        <w:ind w:firstLine="480" w:firstLineChars="200"/>
        <w:rPr>
          <w:rFonts w:ascii="Times New Roman" w:hAnsi="Times New Roman" w:eastAsia="宋体" w:cs="Times New Roman"/>
          <w:color w:val="000000" w:themeColor="text1"/>
          <w:sz w:val="24"/>
          <w:szCs w:val="24"/>
          <w:highlight w:val="none"/>
        </w:rPr>
      </w:pPr>
      <w:r>
        <w:rPr>
          <w:rFonts w:hint="eastAsia" w:ascii="宋体" w:hAnsi="宋体" w:eastAsia="宋体" w:cs="Times New Roman"/>
          <w:color w:val="000000" w:themeColor="text1"/>
          <w:sz w:val="24"/>
          <w:szCs w:val="24"/>
          <w:highlight w:val="none"/>
        </w:rPr>
        <w:t>22.1详见</w:t>
      </w:r>
      <w:r>
        <w:rPr>
          <w:rFonts w:hint="eastAsia" w:ascii="宋体" w:hAnsi="宋体" w:eastAsia="宋体" w:cs="Times New Roman"/>
          <w:b/>
          <w:color w:val="000000" w:themeColor="text1"/>
          <w:sz w:val="24"/>
          <w:szCs w:val="24"/>
          <w:highlight w:val="none"/>
        </w:rPr>
        <w:t>投标人须知前附表。</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宋体" w:hAnsi="宋体" w:eastAsia="宋体" w:cs="Times New Roman"/>
          <w:color w:val="000000" w:themeColor="text1"/>
          <w:sz w:val="24"/>
          <w:szCs w:val="24"/>
          <w:highlight w:val="none"/>
        </w:rPr>
        <w:t>22.</w:t>
      </w:r>
      <w:r>
        <w:rPr>
          <w:rFonts w:hint="eastAsia" w:ascii="宋体" w:hAnsi="宋体" w:eastAsia="宋体" w:cs="Times New Roman"/>
          <w:color w:val="000000" w:themeColor="text1"/>
          <w:sz w:val="24"/>
          <w:szCs w:val="24"/>
          <w:highlight w:val="none"/>
        </w:rPr>
        <w:t>2</w:t>
      </w:r>
      <w:r>
        <w:rPr>
          <w:rFonts w:ascii="Times New Roman" w:hAnsi="Times New Roman" w:eastAsia="宋体" w:cs="Times New Roman"/>
          <w:color w:val="000000" w:themeColor="text1"/>
          <w:sz w:val="24"/>
          <w:szCs w:val="24"/>
          <w:highlight w:val="none"/>
        </w:rPr>
        <w:t>中标候选人的经营、财务状况发生较大变化或者存在违法行为，招标人认为可能影响其履约能力的，应当在发出中标通知书前由原评标委员会按照招标文件规定的标准和方法审查确认。</w:t>
      </w:r>
    </w:p>
    <w:p>
      <w:pPr>
        <w:spacing w:line="360" w:lineRule="auto"/>
        <w:ind w:firstLine="480" w:firstLineChars="200"/>
        <w:rPr>
          <w:rFonts w:ascii="Times New Roman" w:hAnsi="Times New Roman" w:eastAsia="宋体" w:cs="Times New Roman"/>
          <w:color w:val="000000" w:themeColor="text1"/>
          <w:sz w:val="24"/>
          <w:szCs w:val="24"/>
          <w:highlight w:val="none"/>
        </w:rPr>
      </w:pPr>
      <w:r>
        <w:rPr>
          <w:rFonts w:ascii="宋体" w:hAnsi="宋体" w:eastAsia="宋体" w:cs="Times New Roman"/>
          <w:color w:val="000000" w:themeColor="text1"/>
          <w:sz w:val="24"/>
          <w:szCs w:val="24"/>
          <w:highlight w:val="none"/>
        </w:rPr>
        <w:t>22.</w:t>
      </w:r>
      <w:r>
        <w:rPr>
          <w:rFonts w:hint="eastAsia" w:ascii="宋体" w:hAnsi="宋体" w:eastAsia="宋体" w:cs="Times New Roman"/>
          <w:color w:val="000000" w:themeColor="text1"/>
          <w:sz w:val="24"/>
          <w:szCs w:val="24"/>
          <w:highlight w:val="none"/>
        </w:rPr>
        <w:t>3</w:t>
      </w:r>
      <w:r>
        <w:rPr>
          <w:rFonts w:ascii="Times New Roman" w:hAnsi="Times New Roman" w:eastAsia="宋体" w:cs="Times New Roman"/>
          <w:color w:val="000000" w:themeColor="text1"/>
          <w:sz w:val="24"/>
          <w:szCs w:val="24"/>
          <w:highlight w:val="none"/>
        </w:rPr>
        <w:t>中标通知书将是本合同的一个组成部分。</w:t>
      </w:r>
      <w:bookmarkEnd w:id="84"/>
      <w:bookmarkEnd w:id="85"/>
      <w:bookmarkEnd w:id="86"/>
    </w:p>
    <w:p>
      <w:pPr>
        <w:spacing w:line="360" w:lineRule="auto"/>
        <w:rPr>
          <w:rFonts w:ascii="Times New Roman" w:hAnsi="Times New Roman" w:eastAsia="宋体" w:cs="Times New Roman"/>
          <w:b/>
          <w:color w:val="000000" w:themeColor="text1"/>
          <w:sz w:val="28"/>
          <w:szCs w:val="24"/>
          <w:highlight w:val="none"/>
        </w:rPr>
      </w:pPr>
      <w:bookmarkStart w:id="87" w:name="_Toc370978613"/>
      <w:bookmarkStart w:id="88" w:name="_Toc370738943"/>
      <w:bookmarkStart w:id="89" w:name="_Toc356889623"/>
      <w:r>
        <w:rPr>
          <w:rFonts w:ascii="Times New Roman" w:hAnsi="Times New Roman" w:eastAsia="宋体" w:cs="Times New Roman"/>
          <w:b/>
          <w:color w:val="000000" w:themeColor="text1"/>
          <w:sz w:val="28"/>
          <w:szCs w:val="24"/>
          <w:highlight w:val="none"/>
        </w:rPr>
        <w:t>23.签订合同</w:t>
      </w:r>
      <w:bookmarkEnd w:id="87"/>
      <w:bookmarkEnd w:id="88"/>
      <w:bookmarkEnd w:id="89"/>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23.1中标人应按中标通知书规定的时间、地点并向买方提供履约担保（如招标文件要求提供时）后，与买方签订中标经济合同，否则按开标后撤回投标处理。</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23.2中标通知书、中标人的投标文件、招标文件及评标过程中有关澄清文件均应作为合同附件。</w:t>
      </w:r>
    </w:p>
    <w:p>
      <w:pPr>
        <w:spacing w:line="360" w:lineRule="auto"/>
        <w:rPr>
          <w:rFonts w:ascii="Times New Roman" w:hAnsi="Times New Roman" w:eastAsia="宋体" w:cs="Times New Roman"/>
          <w:b/>
          <w:color w:val="000000" w:themeColor="text1"/>
          <w:sz w:val="28"/>
          <w:szCs w:val="24"/>
          <w:highlight w:val="none"/>
        </w:rPr>
      </w:pPr>
      <w:bookmarkStart w:id="90" w:name="_Toc356889624"/>
      <w:bookmarkStart w:id="91" w:name="_Toc370978614"/>
      <w:bookmarkStart w:id="92" w:name="_Toc370738944"/>
      <w:r>
        <w:rPr>
          <w:rFonts w:ascii="Times New Roman" w:hAnsi="Times New Roman" w:eastAsia="宋体" w:cs="Times New Roman"/>
          <w:b/>
          <w:color w:val="000000" w:themeColor="text1"/>
          <w:sz w:val="28"/>
          <w:szCs w:val="24"/>
          <w:highlight w:val="none"/>
        </w:rPr>
        <w:t>24.履约担保</w:t>
      </w:r>
      <w:bookmarkEnd w:id="90"/>
      <w:bookmarkEnd w:id="91"/>
      <w:bookmarkEnd w:id="92"/>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24.1招标文件要求中标人提交履约保证金的，中标人应当按照招标文件的要求提交。</w:t>
      </w:r>
    </w:p>
    <w:p>
      <w:pPr>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24.2履约担保形式、担保金额、提交时间详见</w:t>
      </w:r>
      <w:r>
        <w:rPr>
          <w:rFonts w:ascii="Times New Roman" w:hAnsi="Times New Roman" w:eastAsia="宋体" w:cs="Times New Roman"/>
          <w:b/>
          <w:color w:val="000000" w:themeColor="text1"/>
          <w:sz w:val="24"/>
          <w:szCs w:val="24"/>
          <w:highlight w:val="none"/>
        </w:rPr>
        <w:t>投标人须知前附表</w:t>
      </w:r>
      <w:r>
        <w:rPr>
          <w:rFonts w:ascii="Times New Roman" w:hAnsi="Times New Roman" w:eastAsia="宋体" w:cs="Times New Roman"/>
          <w:color w:val="000000" w:themeColor="text1"/>
          <w:sz w:val="24"/>
          <w:szCs w:val="24"/>
          <w:highlight w:val="none"/>
        </w:rPr>
        <w:t>。</w:t>
      </w:r>
    </w:p>
    <w:p>
      <w:pPr>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24.3中标人如未按第24.1及24.2条的规定办理，招标人有权撤销其中标资格且不退还投标保证金。</w:t>
      </w:r>
    </w:p>
    <w:p>
      <w:pPr>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24.4中标人不履行与招标人订立合同的，履约保证金不予退还，给招标人造成的损失超过履约保证金数额的，还应当对超过部分予以赔偿；没有提交履约保证金的，应当对招标人的损失承担赔偿责任。</w:t>
      </w:r>
    </w:p>
    <w:p>
      <w:pPr>
        <w:jc w:val="center"/>
        <w:rPr>
          <w:rFonts w:ascii="Times New Roman" w:hAnsi="Times New Roman" w:eastAsia="宋体" w:cs="Times New Roman"/>
          <w:b/>
          <w:color w:val="000000" w:themeColor="text1"/>
          <w:sz w:val="28"/>
          <w:szCs w:val="32"/>
          <w:highlight w:val="none"/>
        </w:rPr>
      </w:pPr>
      <w:bookmarkStart w:id="93" w:name="_Toc356889625"/>
      <w:bookmarkStart w:id="94" w:name="_Toc370978615"/>
      <w:bookmarkStart w:id="95" w:name="_Toc370738945"/>
      <w:r>
        <w:rPr>
          <w:rFonts w:ascii="Times New Roman" w:hAnsi="Times New Roman" w:eastAsia="宋体" w:cs="Times New Roman"/>
          <w:b/>
          <w:color w:val="000000" w:themeColor="text1"/>
          <w:sz w:val="28"/>
          <w:szCs w:val="32"/>
          <w:highlight w:val="none"/>
        </w:rPr>
        <w:t>九、重新招标和不再招标</w:t>
      </w:r>
    </w:p>
    <w:p>
      <w:pPr>
        <w:spacing w:line="360" w:lineRule="auto"/>
        <w:rPr>
          <w:rFonts w:ascii="Times New Roman" w:hAnsi="Times New Roman" w:eastAsia="宋体" w:cs="Times New Roman"/>
          <w:b/>
          <w:color w:val="000000" w:themeColor="text1"/>
          <w:sz w:val="28"/>
          <w:szCs w:val="24"/>
          <w:highlight w:val="none"/>
        </w:rPr>
      </w:pPr>
      <w:r>
        <w:rPr>
          <w:rFonts w:ascii="Times New Roman" w:hAnsi="Times New Roman" w:eastAsia="宋体" w:cs="Times New Roman"/>
          <w:b/>
          <w:color w:val="000000" w:themeColor="text1"/>
          <w:sz w:val="28"/>
          <w:szCs w:val="24"/>
          <w:highlight w:val="none"/>
        </w:rPr>
        <w:t>25.重新招标</w:t>
      </w:r>
      <w:bookmarkEnd w:id="93"/>
      <w:bookmarkEnd w:id="94"/>
      <w:bookmarkEnd w:id="95"/>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25.1有下列情况之一的，招标人应重新招标：</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（1）招标公告截止后或投标截止时间止，投标人少于3个的；</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（2）经评标委员会评审后否决所有投标人的。</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25.2依法必须进行招标的项目的部分投标被否决，导致有效投标人不足三个的，评标委员会应当否决所有投标。但是有效投标人的经济、技术等指标仍然具有市场竞争力，能够满足招标文件要求的，评标委员会可以继续评标并确定中标候选人。</w:t>
      </w:r>
    </w:p>
    <w:p>
      <w:pPr>
        <w:spacing w:line="360" w:lineRule="auto"/>
        <w:rPr>
          <w:rFonts w:ascii="Times New Roman" w:hAnsi="Times New Roman" w:eastAsia="宋体" w:cs="Times New Roman"/>
          <w:b/>
          <w:color w:val="000000" w:themeColor="text1"/>
          <w:sz w:val="28"/>
          <w:szCs w:val="24"/>
          <w:highlight w:val="none"/>
        </w:rPr>
      </w:pPr>
      <w:r>
        <w:rPr>
          <w:rFonts w:ascii="Times New Roman" w:hAnsi="Times New Roman" w:eastAsia="宋体" w:cs="Times New Roman"/>
          <w:b/>
          <w:color w:val="000000" w:themeColor="text1"/>
          <w:sz w:val="28"/>
          <w:szCs w:val="24"/>
          <w:highlight w:val="none"/>
        </w:rPr>
        <w:t>26.不再招标</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26.1重新招标的投标人仍然少于三个的，按照招标投标法律法规规定的程序开标和评标。</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26.2　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p>
    <w:p>
      <w:pPr>
        <w:jc w:val="center"/>
        <w:rPr>
          <w:rFonts w:ascii="Times New Roman" w:hAnsi="Times New Roman" w:eastAsia="宋体" w:cs="Times New Roman"/>
          <w:b/>
          <w:color w:val="000000" w:themeColor="text1"/>
          <w:sz w:val="28"/>
          <w:szCs w:val="32"/>
          <w:highlight w:val="none"/>
        </w:rPr>
      </w:pPr>
      <w:bookmarkStart w:id="96" w:name="_Toc370978616"/>
      <w:bookmarkStart w:id="97" w:name="_Toc356889626"/>
      <w:bookmarkStart w:id="98" w:name="_Toc370738946"/>
      <w:r>
        <w:rPr>
          <w:rFonts w:ascii="Times New Roman" w:hAnsi="Times New Roman" w:eastAsia="宋体" w:cs="Times New Roman"/>
          <w:b/>
          <w:color w:val="000000" w:themeColor="text1"/>
          <w:sz w:val="28"/>
          <w:szCs w:val="32"/>
          <w:highlight w:val="none"/>
        </w:rPr>
        <w:t>十、纪律、监督和投诉</w:t>
      </w:r>
    </w:p>
    <w:p>
      <w:pPr>
        <w:spacing w:line="360" w:lineRule="auto"/>
        <w:rPr>
          <w:rFonts w:ascii="Times New Roman" w:hAnsi="Times New Roman" w:eastAsia="宋体" w:cs="Times New Roman"/>
          <w:b/>
          <w:color w:val="000000" w:themeColor="text1"/>
          <w:sz w:val="28"/>
          <w:szCs w:val="24"/>
          <w:highlight w:val="none"/>
        </w:rPr>
      </w:pPr>
      <w:r>
        <w:rPr>
          <w:rFonts w:ascii="Times New Roman" w:hAnsi="Times New Roman" w:eastAsia="宋体" w:cs="Times New Roman"/>
          <w:b/>
          <w:color w:val="000000" w:themeColor="text1"/>
          <w:sz w:val="28"/>
          <w:szCs w:val="24"/>
          <w:highlight w:val="none"/>
        </w:rPr>
        <w:t>27.纪律要求</w:t>
      </w:r>
      <w:bookmarkEnd w:id="96"/>
      <w:bookmarkEnd w:id="97"/>
      <w:bookmarkEnd w:id="98"/>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27.1对招标人的纪律要求</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招标人不得泄漏招标投标活动中应当保密的情况和资料，不得与投标人串通损害国家利益、社会公共利益或者他人合法权益，禁止招标人与投标人串通投标。</w:t>
      </w:r>
      <w:r>
        <w:rPr>
          <w:rFonts w:ascii="Times New Roman" w:hAnsi="Times New Roman" w:eastAsia="宋体" w:cs="Times New Roman"/>
          <w:color w:val="000000" w:themeColor="text1"/>
          <w:sz w:val="24"/>
          <w:szCs w:val="24"/>
          <w:highlight w:val="none"/>
        </w:rPr>
        <w:br w:type="textWrapping"/>
      </w:r>
      <w:r>
        <w:rPr>
          <w:rFonts w:ascii="Times New Roman" w:hAnsi="Times New Roman" w:eastAsia="宋体" w:cs="Times New Roman"/>
          <w:color w:val="000000" w:themeColor="text1"/>
          <w:highlight w:val="none"/>
        </w:rPr>
        <w:t>     27.1.1</w:t>
      </w:r>
      <w:r>
        <w:rPr>
          <w:rFonts w:ascii="Times New Roman" w:hAnsi="Times New Roman" w:eastAsia="宋体" w:cs="Times New Roman"/>
          <w:color w:val="000000" w:themeColor="text1"/>
          <w:sz w:val="24"/>
          <w:szCs w:val="24"/>
          <w:highlight w:val="none"/>
        </w:rPr>
        <w:t>有下列情形之一的，属于招标人与投标人串通投标：</w:t>
      </w:r>
      <w:r>
        <w:rPr>
          <w:rFonts w:ascii="Times New Roman" w:hAnsi="Times New Roman" w:eastAsia="宋体" w:cs="Times New Roman"/>
          <w:color w:val="000000" w:themeColor="text1"/>
          <w:sz w:val="24"/>
          <w:szCs w:val="24"/>
          <w:highlight w:val="none"/>
        </w:rPr>
        <w:br w:type="textWrapping"/>
      </w:r>
      <w:r>
        <w:rPr>
          <w:rFonts w:ascii="Times New Roman" w:hAnsi="Times New Roman" w:eastAsia="宋体" w:cs="Times New Roman"/>
          <w:color w:val="000000" w:themeColor="text1"/>
          <w:sz w:val="24"/>
          <w:szCs w:val="24"/>
          <w:highlight w:val="none"/>
        </w:rPr>
        <w:t>    （1）招标人在开标前开启投标文件并将有关信息泄露给其他投标人;</w:t>
      </w:r>
      <w:r>
        <w:rPr>
          <w:rFonts w:ascii="Times New Roman" w:hAnsi="Times New Roman" w:eastAsia="宋体" w:cs="Times New Roman"/>
          <w:color w:val="000000" w:themeColor="text1"/>
          <w:sz w:val="24"/>
          <w:szCs w:val="24"/>
          <w:highlight w:val="none"/>
        </w:rPr>
        <w:br w:type="textWrapping"/>
      </w:r>
      <w:r>
        <w:rPr>
          <w:rFonts w:ascii="Times New Roman" w:hAnsi="Times New Roman" w:eastAsia="宋体" w:cs="Times New Roman"/>
          <w:color w:val="000000" w:themeColor="text1"/>
          <w:sz w:val="24"/>
          <w:szCs w:val="24"/>
          <w:highlight w:val="none"/>
        </w:rPr>
        <w:t>    （2）招标人直接或者间接向投标人泄露标底、评标委员会成员等信息；</w:t>
      </w:r>
      <w:r>
        <w:rPr>
          <w:rFonts w:ascii="Times New Roman" w:hAnsi="Times New Roman" w:eastAsia="宋体" w:cs="Times New Roman"/>
          <w:color w:val="000000" w:themeColor="text1"/>
          <w:sz w:val="24"/>
          <w:szCs w:val="24"/>
          <w:highlight w:val="none"/>
        </w:rPr>
        <w:br w:type="textWrapping"/>
      </w:r>
      <w:r>
        <w:rPr>
          <w:rFonts w:ascii="Times New Roman" w:hAnsi="Times New Roman" w:eastAsia="宋体" w:cs="Times New Roman"/>
          <w:color w:val="000000" w:themeColor="text1"/>
          <w:sz w:val="24"/>
          <w:szCs w:val="24"/>
          <w:highlight w:val="none"/>
        </w:rPr>
        <w:t>    （3）招标人明示或者暗示投标人压低或者抬高投标报价；</w:t>
      </w:r>
      <w:r>
        <w:rPr>
          <w:rFonts w:ascii="Times New Roman" w:hAnsi="Times New Roman" w:eastAsia="宋体" w:cs="Times New Roman"/>
          <w:color w:val="000000" w:themeColor="text1"/>
          <w:sz w:val="24"/>
          <w:szCs w:val="24"/>
          <w:highlight w:val="none"/>
        </w:rPr>
        <w:br w:type="textWrapping"/>
      </w:r>
      <w:r>
        <w:rPr>
          <w:rFonts w:ascii="Times New Roman" w:hAnsi="Times New Roman" w:eastAsia="宋体" w:cs="Times New Roman"/>
          <w:color w:val="000000" w:themeColor="text1"/>
          <w:sz w:val="24"/>
          <w:szCs w:val="24"/>
          <w:highlight w:val="none"/>
        </w:rPr>
        <w:t>    （4）招标人授意投标人撤换、修改投标文件；</w:t>
      </w:r>
      <w:r>
        <w:rPr>
          <w:rFonts w:ascii="Times New Roman" w:hAnsi="Times New Roman" w:eastAsia="宋体" w:cs="Times New Roman"/>
          <w:color w:val="000000" w:themeColor="text1"/>
          <w:sz w:val="24"/>
          <w:szCs w:val="24"/>
          <w:highlight w:val="none"/>
        </w:rPr>
        <w:br w:type="textWrapping"/>
      </w:r>
      <w:r>
        <w:rPr>
          <w:rFonts w:ascii="Times New Roman" w:hAnsi="Times New Roman" w:eastAsia="宋体" w:cs="Times New Roman"/>
          <w:color w:val="000000" w:themeColor="text1"/>
          <w:sz w:val="24"/>
          <w:szCs w:val="24"/>
          <w:highlight w:val="none"/>
        </w:rPr>
        <w:t>    （5）招标人明示或者暗示投标人为特定投标人中标提供方便；</w:t>
      </w:r>
      <w:r>
        <w:rPr>
          <w:rFonts w:ascii="Times New Roman" w:hAnsi="Times New Roman" w:eastAsia="宋体" w:cs="Times New Roman"/>
          <w:color w:val="000000" w:themeColor="text1"/>
          <w:sz w:val="24"/>
          <w:szCs w:val="24"/>
          <w:highlight w:val="none"/>
        </w:rPr>
        <w:br w:type="textWrapping"/>
      </w:r>
      <w:r>
        <w:rPr>
          <w:rFonts w:ascii="Times New Roman" w:hAnsi="Times New Roman" w:eastAsia="宋体" w:cs="Times New Roman"/>
          <w:color w:val="000000" w:themeColor="text1"/>
          <w:sz w:val="24"/>
          <w:szCs w:val="24"/>
          <w:highlight w:val="none"/>
        </w:rPr>
        <w:t>    （6）招标人与投标人为谋求特定投标人中标而采取的其他串通行为。</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27.2对投标人的纪律要求</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r>
        <w:rPr>
          <w:rFonts w:ascii="Times New Roman" w:hAnsi="Times New Roman" w:eastAsia="宋体" w:cs="Times New Roman"/>
          <w:color w:val="000000" w:themeColor="text1"/>
          <w:sz w:val="24"/>
          <w:szCs w:val="24"/>
          <w:highlight w:val="none"/>
        </w:rPr>
        <w:br w:type="textWrapping"/>
      </w:r>
      <w:r>
        <w:rPr>
          <w:rFonts w:ascii="Times New Roman" w:hAnsi="Times New Roman" w:eastAsia="宋体" w:cs="Times New Roman"/>
          <w:color w:val="000000" w:themeColor="text1"/>
          <w:sz w:val="24"/>
          <w:szCs w:val="24"/>
          <w:highlight w:val="none"/>
        </w:rPr>
        <w:t>     27.2.1有下列情形之一的，属于投标人相互串通投标：</w:t>
      </w:r>
      <w:r>
        <w:rPr>
          <w:rFonts w:ascii="Times New Roman" w:hAnsi="Times New Roman" w:eastAsia="宋体" w:cs="Times New Roman"/>
          <w:color w:val="000000" w:themeColor="text1"/>
          <w:sz w:val="24"/>
          <w:szCs w:val="24"/>
          <w:highlight w:val="none"/>
        </w:rPr>
        <w:br w:type="textWrapping"/>
      </w:r>
      <w:r>
        <w:rPr>
          <w:rFonts w:ascii="Times New Roman" w:hAnsi="Times New Roman" w:eastAsia="宋体" w:cs="Times New Roman"/>
          <w:color w:val="000000" w:themeColor="text1"/>
          <w:sz w:val="24"/>
          <w:szCs w:val="24"/>
          <w:highlight w:val="none"/>
        </w:rPr>
        <w:t>    （1）投标人之间协商投标报价等投标文件的实质性内容；</w:t>
      </w:r>
      <w:r>
        <w:rPr>
          <w:rFonts w:ascii="Times New Roman" w:hAnsi="Times New Roman" w:eastAsia="宋体" w:cs="Times New Roman"/>
          <w:color w:val="000000" w:themeColor="text1"/>
          <w:sz w:val="24"/>
          <w:szCs w:val="24"/>
          <w:highlight w:val="none"/>
        </w:rPr>
        <w:br w:type="textWrapping"/>
      </w:r>
      <w:r>
        <w:rPr>
          <w:rFonts w:ascii="Times New Roman" w:hAnsi="Times New Roman" w:eastAsia="宋体" w:cs="Times New Roman"/>
          <w:color w:val="000000" w:themeColor="text1"/>
          <w:sz w:val="24"/>
          <w:szCs w:val="24"/>
          <w:highlight w:val="none"/>
        </w:rPr>
        <w:t>    （2）投标人之间约定中标人；</w:t>
      </w:r>
      <w:r>
        <w:rPr>
          <w:rFonts w:ascii="Times New Roman" w:hAnsi="Times New Roman" w:eastAsia="宋体" w:cs="Times New Roman"/>
          <w:color w:val="000000" w:themeColor="text1"/>
          <w:sz w:val="24"/>
          <w:szCs w:val="24"/>
          <w:highlight w:val="none"/>
        </w:rPr>
        <w:br w:type="textWrapping"/>
      </w:r>
      <w:r>
        <w:rPr>
          <w:rFonts w:ascii="Times New Roman" w:hAnsi="Times New Roman" w:eastAsia="宋体" w:cs="Times New Roman"/>
          <w:color w:val="000000" w:themeColor="text1"/>
          <w:sz w:val="24"/>
          <w:szCs w:val="24"/>
          <w:highlight w:val="none"/>
        </w:rPr>
        <w:t>    （3）投标人之间约定部分投标人放弃投标或者中标；</w:t>
      </w:r>
      <w:r>
        <w:rPr>
          <w:rFonts w:ascii="Times New Roman" w:hAnsi="Times New Roman" w:eastAsia="宋体" w:cs="Times New Roman"/>
          <w:color w:val="000000" w:themeColor="text1"/>
          <w:sz w:val="24"/>
          <w:szCs w:val="24"/>
          <w:highlight w:val="none"/>
        </w:rPr>
        <w:br w:type="textWrapping"/>
      </w:r>
      <w:r>
        <w:rPr>
          <w:rFonts w:ascii="Times New Roman" w:hAnsi="Times New Roman" w:eastAsia="宋体" w:cs="Times New Roman"/>
          <w:color w:val="000000" w:themeColor="text1"/>
          <w:sz w:val="24"/>
          <w:szCs w:val="24"/>
          <w:highlight w:val="none"/>
        </w:rPr>
        <w:t>    （4）属于同一集团、协会、商会等组织成员的投标人按照该组织要求协同投标；</w:t>
      </w:r>
      <w:r>
        <w:rPr>
          <w:rFonts w:ascii="Times New Roman" w:hAnsi="Times New Roman" w:eastAsia="宋体" w:cs="Times New Roman"/>
          <w:color w:val="000000" w:themeColor="text1"/>
          <w:sz w:val="24"/>
          <w:szCs w:val="24"/>
          <w:highlight w:val="none"/>
        </w:rPr>
        <w:br w:type="textWrapping"/>
      </w:r>
      <w:r>
        <w:rPr>
          <w:rFonts w:ascii="Times New Roman" w:hAnsi="Times New Roman" w:eastAsia="宋体" w:cs="Times New Roman"/>
          <w:color w:val="000000" w:themeColor="text1"/>
          <w:sz w:val="24"/>
          <w:szCs w:val="24"/>
          <w:highlight w:val="none"/>
        </w:rPr>
        <w:t>    （5）投标人之间为谋取中标或者排斥特定投标人而采取的其他联合行动。</w:t>
      </w:r>
      <w:r>
        <w:rPr>
          <w:rFonts w:ascii="Times New Roman" w:hAnsi="Times New Roman" w:eastAsia="宋体" w:cs="Times New Roman"/>
          <w:color w:val="000000" w:themeColor="text1"/>
          <w:sz w:val="24"/>
          <w:szCs w:val="24"/>
          <w:highlight w:val="none"/>
        </w:rPr>
        <w:br w:type="textWrapping"/>
      </w:r>
      <w:r>
        <w:rPr>
          <w:rFonts w:ascii="Times New Roman" w:hAnsi="Times New Roman" w:eastAsia="宋体" w:cs="Times New Roman"/>
          <w:color w:val="000000" w:themeColor="text1"/>
          <w:sz w:val="24"/>
          <w:szCs w:val="24"/>
          <w:highlight w:val="none"/>
        </w:rPr>
        <w:t>    27.2.2有下列情形之一的，视为投标人相互串通投标：</w:t>
      </w:r>
      <w:r>
        <w:rPr>
          <w:rFonts w:ascii="Times New Roman" w:hAnsi="Times New Roman" w:eastAsia="宋体" w:cs="Times New Roman"/>
          <w:color w:val="000000" w:themeColor="text1"/>
          <w:sz w:val="24"/>
          <w:szCs w:val="24"/>
          <w:highlight w:val="none"/>
        </w:rPr>
        <w:br w:type="textWrapping"/>
      </w:r>
      <w:r>
        <w:rPr>
          <w:rFonts w:ascii="Times New Roman" w:hAnsi="Times New Roman" w:eastAsia="宋体" w:cs="Times New Roman"/>
          <w:color w:val="000000" w:themeColor="text1"/>
          <w:sz w:val="24"/>
          <w:szCs w:val="24"/>
          <w:highlight w:val="none"/>
        </w:rPr>
        <w:t>    （1）不同投标人的投标文件由同一单位或者个人编制；</w:t>
      </w:r>
      <w:r>
        <w:rPr>
          <w:rFonts w:ascii="Times New Roman" w:hAnsi="Times New Roman" w:eastAsia="宋体" w:cs="Times New Roman"/>
          <w:color w:val="000000" w:themeColor="text1"/>
          <w:sz w:val="24"/>
          <w:szCs w:val="24"/>
          <w:highlight w:val="none"/>
        </w:rPr>
        <w:br w:type="textWrapping"/>
      </w:r>
      <w:r>
        <w:rPr>
          <w:rFonts w:ascii="Times New Roman" w:hAnsi="Times New Roman" w:eastAsia="宋体" w:cs="Times New Roman"/>
          <w:color w:val="000000" w:themeColor="text1"/>
          <w:sz w:val="24"/>
          <w:szCs w:val="24"/>
          <w:highlight w:val="none"/>
        </w:rPr>
        <w:t>    （2）不同投标人委托同一单位或者个人办理投标事宜；</w:t>
      </w:r>
      <w:r>
        <w:rPr>
          <w:rFonts w:ascii="Times New Roman" w:hAnsi="Times New Roman" w:eastAsia="宋体" w:cs="Times New Roman"/>
          <w:color w:val="000000" w:themeColor="text1"/>
          <w:sz w:val="24"/>
          <w:szCs w:val="24"/>
          <w:highlight w:val="none"/>
        </w:rPr>
        <w:br w:type="textWrapping"/>
      </w:r>
      <w:r>
        <w:rPr>
          <w:rFonts w:ascii="Times New Roman" w:hAnsi="Times New Roman" w:eastAsia="宋体" w:cs="Times New Roman"/>
          <w:color w:val="000000" w:themeColor="text1"/>
          <w:sz w:val="24"/>
          <w:szCs w:val="24"/>
          <w:highlight w:val="none"/>
        </w:rPr>
        <w:t>    （3）不同投标人的投标文件载明的项目管理成员为同一人；</w:t>
      </w:r>
      <w:r>
        <w:rPr>
          <w:rFonts w:ascii="Times New Roman" w:hAnsi="Times New Roman" w:eastAsia="宋体" w:cs="Times New Roman"/>
          <w:color w:val="000000" w:themeColor="text1"/>
          <w:sz w:val="24"/>
          <w:szCs w:val="24"/>
          <w:highlight w:val="none"/>
        </w:rPr>
        <w:br w:type="textWrapping"/>
      </w:r>
      <w:r>
        <w:rPr>
          <w:rFonts w:ascii="Times New Roman" w:hAnsi="Times New Roman" w:eastAsia="宋体" w:cs="Times New Roman"/>
          <w:color w:val="000000" w:themeColor="text1"/>
          <w:sz w:val="24"/>
          <w:szCs w:val="24"/>
          <w:highlight w:val="none"/>
        </w:rPr>
        <w:t>    （4）不同投标人的投标文件异常一致或者投标报价呈规律性差异；</w:t>
      </w:r>
      <w:r>
        <w:rPr>
          <w:rFonts w:ascii="Times New Roman" w:hAnsi="Times New Roman" w:eastAsia="宋体" w:cs="Times New Roman"/>
          <w:color w:val="000000" w:themeColor="text1"/>
          <w:sz w:val="24"/>
          <w:szCs w:val="24"/>
          <w:highlight w:val="none"/>
        </w:rPr>
        <w:br w:type="textWrapping"/>
      </w:r>
      <w:r>
        <w:rPr>
          <w:rFonts w:ascii="Times New Roman" w:hAnsi="Times New Roman" w:eastAsia="宋体" w:cs="Times New Roman"/>
          <w:color w:val="000000" w:themeColor="text1"/>
          <w:sz w:val="24"/>
          <w:szCs w:val="24"/>
          <w:highlight w:val="none"/>
        </w:rPr>
        <w:t>    （5）不同投标人的投标文件相互混装；</w:t>
      </w:r>
      <w:r>
        <w:rPr>
          <w:rFonts w:ascii="Times New Roman" w:hAnsi="Times New Roman" w:eastAsia="宋体" w:cs="Times New Roman"/>
          <w:color w:val="000000" w:themeColor="text1"/>
          <w:sz w:val="24"/>
          <w:szCs w:val="24"/>
          <w:highlight w:val="none"/>
        </w:rPr>
        <w:br w:type="textWrapping"/>
      </w:r>
      <w:r>
        <w:rPr>
          <w:rFonts w:ascii="Times New Roman" w:hAnsi="Times New Roman" w:eastAsia="宋体" w:cs="Times New Roman"/>
          <w:color w:val="000000" w:themeColor="text1"/>
          <w:sz w:val="24"/>
          <w:szCs w:val="24"/>
          <w:highlight w:val="none"/>
        </w:rPr>
        <w:t>    （6）不同投标人的投标保证金从同一单位或者个人的账户转出。</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27.2.3使用通过受让或者租借等方式获取的资格、资质证书投标的，属于以他人名义投标。</w:t>
      </w:r>
      <w:r>
        <w:rPr>
          <w:rFonts w:ascii="Times New Roman" w:hAnsi="Times New Roman" w:eastAsia="宋体" w:cs="Times New Roman"/>
          <w:color w:val="000000" w:themeColor="text1"/>
          <w:sz w:val="24"/>
          <w:szCs w:val="24"/>
          <w:highlight w:val="none"/>
        </w:rPr>
        <w:br w:type="textWrapping"/>
      </w:r>
      <w:r>
        <w:rPr>
          <w:rFonts w:ascii="Times New Roman" w:hAnsi="Times New Roman" w:eastAsia="宋体" w:cs="Times New Roman"/>
          <w:color w:val="000000" w:themeColor="text1"/>
          <w:sz w:val="24"/>
          <w:szCs w:val="24"/>
          <w:highlight w:val="none"/>
        </w:rPr>
        <w:t xml:space="preserve">    27.2.4投标人有下列情形之一的，属于招标投标法第三十三条规定的以其他方式弄虚作假的行为：</w:t>
      </w:r>
      <w:r>
        <w:rPr>
          <w:rFonts w:ascii="Times New Roman" w:hAnsi="Times New Roman" w:eastAsia="宋体" w:cs="Times New Roman"/>
          <w:color w:val="000000" w:themeColor="text1"/>
          <w:sz w:val="24"/>
          <w:szCs w:val="24"/>
          <w:highlight w:val="none"/>
        </w:rPr>
        <w:br w:type="textWrapping"/>
      </w:r>
      <w:r>
        <w:rPr>
          <w:rFonts w:ascii="Times New Roman" w:hAnsi="Times New Roman" w:eastAsia="宋体" w:cs="Times New Roman"/>
          <w:color w:val="000000" w:themeColor="text1"/>
          <w:sz w:val="24"/>
          <w:szCs w:val="24"/>
          <w:highlight w:val="none"/>
        </w:rPr>
        <w:t>（一）使用伪造、变造的许可证件；</w:t>
      </w:r>
      <w:r>
        <w:rPr>
          <w:rFonts w:ascii="Times New Roman" w:hAnsi="Times New Roman" w:eastAsia="宋体" w:cs="Times New Roman"/>
          <w:color w:val="000000" w:themeColor="text1"/>
          <w:sz w:val="24"/>
          <w:szCs w:val="24"/>
          <w:highlight w:val="none"/>
        </w:rPr>
        <w:br w:type="textWrapping"/>
      </w:r>
      <w:r>
        <w:rPr>
          <w:rFonts w:ascii="Times New Roman" w:hAnsi="Times New Roman" w:eastAsia="宋体" w:cs="Times New Roman"/>
          <w:color w:val="000000" w:themeColor="text1"/>
          <w:sz w:val="24"/>
          <w:szCs w:val="24"/>
          <w:highlight w:val="none"/>
        </w:rPr>
        <w:t>（二）提供虚假的财务状况或者虚假业绩；</w:t>
      </w:r>
      <w:r>
        <w:rPr>
          <w:rFonts w:ascii="Times New Roman" w:hAnsi="Times New Roman" w:eastAsia="宋体" w:cs="Times New Roman"/>
          <w:color w:val="000000" w:themeColor="text1"/>
          <w:sz w:val="24"/>
          <w:szCs w:val="24"/>
          <w:highlight w:val="none"/>
        </w:rPr>
        <w:br w:type="textWrapping"/>
      </w:r>
      <w:r>
        <w:rPr>
          <w:rFonts w:ascii="Times New Roman" w:hAnsi="Times New Roman" w:eastAsia="宋体" w:cs="Times New Roman"/>
          <w:color w:val="000000" w:themeColor="text1"/>
          <w:sz w:val="24"/>
          <w:szCs w:val="24"/>
          <w:highlight w:val="none"/>
        </w:rPr>
        <w:t>（三）提供虚假的项目负责人或者主要技术人员简历、劳动关系证明；</w:t>
      </w:r>
      <w:r>
        <w:rPr>
          <w:rFonts w:ascii="Times New Roman" w:hAnsi="Times New Roman" w:eastAsia="宋体" w:cs="Times New Roman"/>
          <w:color w:val="000000" w:themeColor="text1"/>
          <w:sz w:val="24"/>
          <w:szCs w:val="24"/>
          <w:highlight w:val="none"/>
        </w:rPr>
        <w:br w:type="textWrapping"/>
      </w:r>
      <w:r>
        <w:rPr>
          <w:rFonts w:ascii="Times New Roman" w:hAnsi="Times New Roman" w:eastAsia="宋体" w:cs="Times New Roman"/>
          <w:color w:val="000000" w:themeColor="text1"/>
          <w:sz w:val="24"/>
          <w:szCs w:val="24"/>
          <w:highlight w:val="none"/>
        </w:rPr>
        <w:t>（四）提供虚假的信用状况；</w:t>
      </w:r>
      <w:r>
        <w:rPr>
          <w:rFonts w:ascii="Times New Roman" w:hAnsi="Times New Roman" w:eastAsia="宋体" w:cs="Times New Roman"/>
          <w:color w:val="000000" w:themeColor="text1"/>
          <w:sz w:val="24"/>
          <w:szCs w:val="24"/>
          <w:highlight w:val="none"/>
        </w:rPr>
        <w:br w:type="textWrapping"/>
      </w:r>
      <w:r>
        <w:rPr>
          <w:rFonts w:ascii="Times New Roman" w:hAnsi="Times New Roman" w:eastAsia="宋体" w:cs="Times New Roman"/>
          <w:color w:val="000000" w:themeColor="text1"/>
          <w:sz w:val="24"/>
          <w:szCs w:val="24"/>
          <w:highlight w:val="none"/>
        </w:rPr>
        <w:t>（五）其它弄虚作假的行为。</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27.3对评标委员会成员的纪律要求</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评标委员会成员不得收受他人的财物或者其它好处，不得向他人透露对投标文件的评审和比较、中标候选人的推荐情况以及评标有关的其他情况。在评标活动中，评标委员会成员不得擅离职守，影响评标程序正常进行，不得使用本招标文件没有规定的评审因素进行评标。</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27.4对与评标活动有关工作人员的纪律要求</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与评标活动有关的工作人员不得收受他人的财物或者其它好处，不得向他人透露对投标文件的评审和比较、中标候选人的推荐情况以及评标的其他情况。在评标活动中，与评标活动有关的工作人员不得擅离职守，影响评标程序正常进行。</w:t>
      </w:r>
    </w:p>
    <w:p>
      <w:pPr>
        <w:spacing w:line="360" w:lineRule="auto"/>
        <w:rPr>
          <w:rFonts w:ascii="Times New Roman" w:hAnsi="Times New Roman" w:eastAsia="宋体" w:cs="Times New Roman"/>
          <w:b/>
          <w:color w:val="000000" w:themeColor="text1"/>
          <w:sz w:val="28"/>
          <w:szCs w:val="24"/>
          <w:highlight w:val="none"/>
        </w:rPr>
      </w:pPr>
      <w:r>
        <w:rPr>
          <w:rFonts w:ascii="Times New Roman" w:hAnsi="Times New Roman" w:eastAsia="宋体" w:cs="Times New Roman"/>
          <w:b/>
          <w:color w:val="000000" w:themeColor="text1"/>
          <w:sz w:val="28"/>
          <w:szCs w:val="24"/>
          <w:highlight w:val="none"/>
        </w:rPr>
        <w:t>28.监督</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本次招标活动接受有关行政监督部门监督，具体监督部门详见</w:t>
      </w:r>
      <w:r>
        <w:rPr>
          <w:rFonts w:ascii="Times New Roman" w:hAnsi="Times New Roman" w:eastAsia="宋体" w:cs="Times New Roman"/>
          <w:b/>
          <w:color w:val="000000" w:themeColor="text1"/>
          <w:sz w:val="24"/>
          <w:szCs w:val="24"/>
          <w:highlight w:val="none"/>
        </w:rPr>
        <w:t>投标人须知前附表</w:t>
      </w:r>
      <w:r>
        <w:rPr>
          <w:rFonts w:ascii="Times New Roman" w:hAnsi="Times New Roman" w:eastAsia="宋体" w:cs="Times New Roman"/>
          <w:color w:val="000000" w:themeColor="text1"/>
          <w:sz w:val="24"/>
          <w:szCs w:val="24"/>
          <w:highlight w:val="none"/>
        </w:rPr>
        <w:t>。</w:t>
      </w:r>
    </w:p>
    <w:p>
      <w:pPr>
        <w:spacing w:line="360" w:lineRule="auto"/>
        <w:rPr>
          <w:rFonts w:ascii="Times New Roman" w:hAnsi="Times New Roman" w:eastAsia="宋体" w:cs="Times New Roman"/>
          <w:b/>
          <w:color w:val="000000" w:themeColor="text1"/>
          <w:sz w:val="28"/>
          <w:szCs w:val="24"/>
          <w:highlight w:val="none"/>
        </w:rPr>
      </w:pPr>
      <w:r>
        <w:rPr>
          <w:rFonts w:ascii="Times New Roman" w:hAnsi="Times New Roman" w:eastAsia="宋体" w:cs="Times New Roman"/>
          <w:b/>
          <w:color w:val="000000" w:themeColor="text1"/>
          <w:sz w:val="28"/>
          <w:szCs w:val="24"/>
          <w:highlight w:val="none"/>
        </w:rPr>
        <w:t>29.投诉</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29.1投标人和其他利害关系人认为本次招标活动违反法律、法规和规章规定的，可以自知道或者应当知道之日起10日内有权向有关行政监督部门投诉。</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29.2对招标文件有异议的应在领购招标文件后10日内，或投标截止时间/开标时间10日前提出；对开标程序及过程有异议的，投诉人应在开标现场提出；对评标结果有异议的，投诉人应在公示评标结果后10日内提出。</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投诉应当有明确的请求和必要的证明材料，并提交经投诉单位法人或授权代表签字、加盖公章的《投诉书》。</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29.3投诉人应保证其提出投诉内容及相应证明材料的真实性及来源的合法性，并依法承担相应的法律责任或赔偿责任。</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29.4行政监督部门自收到投诉后，按照国家发改委等九部委2013年23号令修改过的国家发改委七部委2004年11号令关于投诉处理办法的相关规定及程序进行处理。</w:t>
      </w:r>
    </w:p>
    <w:p>
      <w:pPr>
        <w:jc w:val="center"/>
        <w:rPr>
          <w:rFonts w:ascii="Times New Roman" w:hAnsi="Times New Roman" w:eastAsia="宋体" w:cs="Times New Roman"/>
          <w:b/>
          <w:color w:val="000000" w:themeColor="text1"/>
          <w:sz w:val="28"/>
          <w:szCs w:val="32"/>
          <w:highlight w:val="none"/>
        </w:rPr>
      </w:pPr>
      <w:bookmarkStart w:id="99" w:name="_Toc370738947"/>
      <w:bookmarkStart w:id="100" w:name="_Toc370978617"/>
      <w:bookmarkStart w:id="101" w:name="_Toc356889627"/>
      <w:r>
        <w:rPr>
          <w:rFonts w:ascii="Times New Roman" w:hAnsi="Times New Roman" w:eastAsia="宋体" w:cs="Times New Roman"/>
          <w:b/>
          <w:color w:val="000000" w:themeColor="text1"/>
          <w:sz w:val="28"/>
          <w:szCs w:val="32"/>
          <w:highlight w:val="none"/>
        </w:rPr>
        <w:t>十一、招标代理服务费</w:t>
      </w:r>
      <w:bookmarkEnd w:id="99"/>
      <w:bookmarkEnd w:id="100"/>
      <w:bookmarkEnd w:id="101"/>
    </w:p>
    <w:p>
      <w:pPr>
        <w:spacing w:line="360" w:lineRule="auto"/>
        <w:rPr>
          <w:rFonts w:ascii="Times New Roman" w:hAnsi="Times New Roman" w:eastAsia="宋体" w:cs="Times New Roman"/>
          <w:b/>
          <w:color w:val="000000" w:themeColor="text1"/>
          <w:sz w:val="28"/>
          <w:szCs w:val="24"/>
          <w:highlight w:val="none"/>
        </w:rPr>
      </w:pPr>
      <w:bookmarkStart w:id="102" w:name="_Toc370738948"/>
      <w:bookmarkStart w:id="103" w:name="_Toc356889628"/>
      <w:bookmarkStart w:id="104" w:name="_Toc370978618"/>
      <w:r>
        <w:rPr>
          <w:rFonts w:ascii="Times New Roman" w:hAnsi="Times New Roman" w:eastAsia="宋体" w:cs="Times New Roman"/>
          <w:b/>
          <w:color w:val="000000" w:themeColor="text1"/>
          <w:sz w:val="28"/>
          <w:szCs w:val="24"/>
          <w:highlight w:val="none"/>
        </w:rPr>
        <w:t>30.招标代理服务费</w:t>
      </w:r>
      <w:bookmarkEnd w:id="102"/>
      <w:bookmarkEnd w:id="103"/>
      <w:bookmarkEnd w:id="104"/>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30.1招标代理服务费的支付：由中标人支付</w:t>
      </w:r>
      <w:r>
        <w:rPr>
          <w:rFonts w:hint="eastAsia" w:ascii="Times New Roman" w:hAnsi="Times New Roman" w:eastAsia="宋体" w:cs="Times New Roman"/>
          <w:color w:val="000000" w:themeColor="text1"/>
          <w:sz w:val="24"/>
          <w:szCs w:val="24"/>
          <w:highlight w:val="none"/>
        </w:rPr>
        <w:t>，</w:t>
      </w:r>
      <w:r>
        <w:rPr>
          <w:rFonts w:ascii="Times New Roman" w:hAnsi="Times New Roman" w:eastAsia="宋体" w:cs="Times New Roman"/>
          <w:color w:val="000000" w:themeColor="text1"/>
          <w:sz w:val="24"/>
          <w:szCs w:val="24"/>
          <w:highlight w:val="none"/>
        </w:rPr>
        <w:t>详见</w:t>
      </w:r>
      <w:r>
        <w:rPr>
          <w:rFonts w:ascii="Times New Roman" w:hAnsi="Times New Roman" w:eastAsia="宋体" w:cs="Times New Roman"/>
          <w:b/>
          <w:color w:val="000000" w:themeColor="text1"/>
          <w:sz w:val="24"/>
          <w:szCs w:val="24"/>
          <w:highlight w:val="none"/>
        </w:rPr>
        <w:t>投标人须知前附表</w:t>
      </w:r>
      <w:r>
        <w:rPr>
          <w:rFonts w:ascii="Times New Roman" w:hAnsi="Times New Roman" w:eastAsia="宋体" w:cs="Times New Roman"/>
          <w:color w:val="000000" w:themeColor="text1"/>
          <w:sz w:val="24"/>
          <w:szCs w:val="24"/>
          <w:highlight w:val="none"/>
        </w:rPr>
        <w:t>。</w:t>
      </w:r>
    </w:p>
    <w:p>
      <w:pPr>
        <w:tabs>
          <w:tab w:val="left" w:pos="1050"/>
          <w:tab w:val="left" w:pos="1470"/>
        </w:tabs>
        <w:spacing w:line="360" w:lineRule="auto"/>
        <w:ind w:firstLine="480" w:firstLineChars="200"/>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30.2招标代理服务费为银行支票、银行汇票或现金。</w:t>
      </w:r>
    </w:p>
    <w:p>
      <w:pPr>
        <w:spacing w:line="360" w:lineRule="auto"/>
        <w:rPr>
          <w:rFonts w:ascii="Times New Roman" w:hAnsi="Times New Roman" w:eastAsia="宋体" w:cs="Times New Roman"/>
          <w:b/>
          <w:color w:val="000000" w:themeColor="text1"/>
          <w:sz w:val="28"/>
          <w:szCs w:val="24"/>
          <w:highlight w:val="none"/>
        </w:rPr>
      </w:pPr>
      <w:bookmarkStart w:id="105" w:name="_Toc370738949"/>
      <w:bookmarkStart w:id="106" w:name="_Toc370978619"/>
      <w:bookmarkStart w:id="107" w:name="_Toc356889629"/>
      <w:r>
        <w:rPr>
          <w:rFonts w:ascii="Times New Roman" w:hAnsi="Times New Roman" w:eastAsia="宋体" w:cs="Times New Roman"/>
          <w:b/>
          <w:color w:val="000000" w:themeColor="text1"/>
          <w:sz w:val="28"/>
          <w:szCs w:val="24"/>
          <w:highlight w:val="none"/>
        </w:rPr>
        <w:t>31.</w:t>
      </w:r>
      <w:bookmarkEnd w:id="105"/>
      <w:bookmarkEnd w:id="106"/>
      <w:bookmarkEnd w:id="107"/>
      <w:bookmarkStart w:id="108" w:name="_Toc152042364"/>
      <w:bookmarkStart w:id="109" w:name="_Toc144974554"/>
      <w:bookmarkStart w:id="110" w:name="_Toc152045587"/>
      <w:bookmarkStart w:id="111" w:name="_Toc179632605"/>
      <w:r>
        <w:rPr>
          <w:rFonts w:ascii="Times New Roman" w:hAnsi="Times New Roman" w:eastAsia="宋体" w:cs="Times New Roman"/>
          <w:b/>
          <w:color w:val="000000" w:themeColor="text1"/>
          <w:sz w:val="28"/>
          <w:szCs w:val="24"/>
          <w:highlight w:val="none"/>
        </w:rPr>
        <w:t>招标文件售价</w:t>
      </w:r>
    </w:p>
    <w:p>
      <w:pPr>
        <w:spacing w:line="300" w:lineRule="auto"/>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详见</w:t>
      </w:r>
      <w:r>
        <w:rPr>
          <w:rFonts w:ascii="Times New Roman" w:hAnsi="Times New Roman" w:eastAsia="宋体" w:cs="Times New Roman"/>
          <w:b/>
          <w:color w:val="000000" w:themeColor="text1"/>
          <w:sz w:val="24"/>
          <w:szCs w:val="24"/>
          <w:highlight w:val="none"/>
        </w:rPr>
        <w:t>投标人须知前附表。</w:t>
      </w:r>
    </w:p>
    <w:p>
      <w:pPr>
        <w:jc w:val="center"/>
        <w:rPr>
          <w:rFonts w:ascii="Times New Roman" w:hAnsi="Times New Roman" w:eastAsia="宋体" w:cs="Times New Roman"/>
          <w:b/>
          <w:color w:val="000000" w:themeColor="text1"/>
          <w:sz w:val="28"/>
          <w:szCs w:val="32"/>
          <w:highlight w:val="none"/>
        </w:rPr>
      </w:pPr>
      <w:r>
        <w:rPr>
          <w:rFonts w:ascii="Times New Roman" w:hAnsi="Times New Roman" w:eastAsia="宋体" w:cs="Times New Roman"/>
          <w:b/>
          <w:color w:val="000000" w:themeColor="text1"/>
          <w:sz w:val="28"/>
          <w:szCs w:val="32"/>
          <w:highlight w:val="none"/>
        </w:rPr>
        <w:t>十二、其他</w:t>
      </w:r>
    </w:p>
    <w:p>
      <w:pPr>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见投标人须知前附表要求</w:t>
      </w:r>
    </w:p>
    <w:p>
      <w:pPr>
        <w:tabs>
          <w:tab w:val="left" w:pos="1050"/>
          <w:tab w:val="left" w:pos="1470"/>
        </w:tabs>
        <w:adjustRightInd w:val="0"/>
        <w:spacing w:line="440" w:lineRule="exact"/>
        <w:rPr>
          <w:rFonts w:ascii="Times New Roman" w:hAnsi="Times New Roman" w:eastAsia="宋体" w:cs="Times New Roman"/>
          <w:color w:val="000000" w:themeColor="text1"/>
          <w:sz w:val="30"/>
          <w:szCs w:val="30"/>
          <w:highlight w:val="none"/>
        </w:rPr>
        <w:sectPr>
          <w:headerReference r:id="rId10" w:type="default"/>
          <w:pgSz w:w="11906" w:h="16838"/>
          <w:pgMar w:top="1402" w:right="1616" w:bottom="1134" w:left="1365" w:header="851" w:footer="992" w:gutter="0"/>
          <w:cols w:space="720" w:num="1"/>
          <w:docGrid w:type="linesAndChars" w:linePitch="312" w:charSpace="0"/>
        </w:sectPr>
      </w:pPr>
    </w:p>
    <w:bookmarkEnd w:id="108"/>
    <w:bookmarkEnd w:id="109"/>
    <w:bookmarkEnd w:id="110"/>
    <w:bookmarkEnd w:id="111"/>
    <w:p>
      <w:pPr>
        <w:keepNext/>
        <w:keepLines/>
        <w:spacing w:line="440" w:lineRule="exact"/>
        <w:ind w:firstLine="883" w:firstLineChars="200"/>
        <w:jc w:val="center"/>
        <w:outlineLvl w:val="0"/>
        <w:rPr>
          <w:rFonts w:ascii="Calibri" w:hAnsi="Calibri" w:eastAsia="黑体" w:cs="Times New Roman"/>
          <w:b/>
          <w:bCs/>
          <w:color w:val="000000" w:themeColor="text1"/>
          <w:kern w:val="44"/>
          <w:sz w:val="44"/>
          <w:szCs w:val="44"/>
          <w:highlight w:val="none"/>
        </w:rPr>
      </w:pPr>
      <w:bookmarkStart w:id="112" w:name="_Toc489972851"/>
      <w:r>
        <w:rPr>
          <w:rFonts w:ascii="Calibri" w:hAnsi="Calibri" w:eastAsia="黑体" w:cs="Times New Roman"/>
          <w:b/>
          <w:bCs/>
          <w:color w:val="000000" w:themeColor="text1"/>
          <w:kern w:val="44"/>
          <w:sz w:val="44"/>
          <w:szCs w:val="44"/>
          <w:highlight w:val="none"/>
        </w:rPr>
        <w:t>第三章评标方法</w:t>
      </w:r>
      <w:bookmarkEnd w:id="112"/>
    </w:p>
    <w:p>
      <w:pPr>
        <w:keepNext/>
        <w:keepLines/>
        <w:numPr>
          <w:ilvl w:val="1"/>
          <w:numId w:val="0"/>
        </w:numPr>
        <w:tabs>
          <w:tab w:val="left" w:pos="708"/>
        </w:tabs>
        <w:adjustRightInd w:val="0"/>
        <w:snapToGrid w:val="0"/>
        <w:spacing w:before="156" w:after="156" w:line="440" w:lineRule="exact"/>
        <w:ind w:firstLine="3092" w:firstLineChars="1100"/>
        <w:outlineLvl w:val="1"/>
        <w:rPr>
          <w:rFonts w:ascii="宋体" w:hAnsi="宋体" w:eastAsia="宋体" w:cs="Times New Roman"/>
          <w:b/>
          <w:bCs/>
          <w:color w:val="000000" w:themeColor="text1"/>
          <w:kern w:val="0"/>
          <w:sz w:val="28"/>
          <w:szCs w:val="28"/>
          <w:highlight w:val="none"/>
        </w:rPr>
      </w:pPr>
      <w:bookmarkStart w:id="113" w:name="_Toc179632606"/>
      <w:bookmarkStart w:id="114" w:name="_Toc152042365"/>
      <w:bookmarkStart w:id="115" w:name="_Toc144974555"/>
      <w:bookmarkStart w:id="116" w:name="_Toc152045588"/>
      <w:r>
        <w:rPr>
          <w:rFonts w:hint="eastAsia" w:ascii="宋体" w:hAnsi="宋体" w:eastAsia="宋体" w:cs="Times New Roman"/>
          <w:b/>
          <w:bCs/>
          <w:color w:val="000000" w:themeColor="text1"/>
          <w:kern w:val="0"/>
          <w:sz w:val="28"/>
          <w:szCs w:val="28"/>
          <w:highlight w:val="none"/>
        </w:rPr>
        <w:t>第一节 评标方法前附表</w:t>
      </w:r>
    </w:p>
    <w:p>
      <w:pPr>
        <w:spacing w:line="400" w:lineRule="exact"/>
        <w:rPr>
          <w:rFonts w:ascii="Times New Roman" w:hAnsi="Times New Roman" w:eastAsia="宋体" w:cs="Times New Roman"/>
          <w:b/>
          <w:color w:val="000000" w:themeColor="text1"/>
          <w:szCs w:val="28"/>
          <w:highlight w:val="none"/>
        </w:rPr>
      </w:pPr>
      <w:r>
        <w:rPr>
          <w:rFonts w:hint="eastAsia" w:ascii="Times New Roman" w:hAnsi="Times New Roman" w:eastAsia="宋体" w:cs="Times New Roman"/>
          <w:b/>
          <w:color w:val="000000" w:themeColor="text1"/>
          <w:szCs w:val="28"/>
          <w:highlight w:val="none"/>
        </w:rPr>
        <w:t>评标方法前附表是对《评标方法》所对应条款的具体补充和修改，如有不一致，应以本前附表为准。</w:t>
      </w:r>
    </w:p>
    <w:p>
      <w:pPr>
        <w:spacing w:line="400" w:lineRule="exact"/>
        <w:rPr>
          <w:rFonts w:ascii="宋体" w:hAnsi="宋体" w:eastAsia="宋体" w:cs="Times New Roman"/>
          <w:color w:val="000000" w:themeColor="text1"/>
          <w:highlight w:val="none"/>
        </w:rPr>
      </w:pPr>
    </w:p>
    <w:tbl>
      <w:tblPr>
        <w:tblStyle w:val="55"/>
        <w:tblW w:w="10037" w:type="dxa"/>
        <w:tblInd w:w="-31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3"/>
        <w:gridCol w:w="1334"/>
        <w:gridCol w:w="1059"/>
        <w:gridCol w:w="678"/>
        <w:gridCol w:w="631"/>
        <w:gridCol w:w="21"/>
        <w:gridCol w:w="5316"/>
        <w:gridCol w:w="25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55" w:type="dxa"/>
        </w:trPr>
        <w:tc>
          <w:tcPr>
            <w:tcW w:w="2077" w:type="dxa"/>
            <w:gridSpan w:val="2"/>
            <w:tcBorders>
              <w:top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b/>
                <w:color w:val="000000" w:themeColor="text1"/>
                <w:szCs w:val="21"/>
                <w:highlight w:val="none"/>
              </w:rPr>
            </w:pPr>
            <w:r>
              <w:rPr>
                <w:rFonts w:ascii="Times New Roman" w:hAnsi="Times New Roman" w:eastAsia="宋体" w:cs="Times New Roman"/>
                <w:b/>
                <w:color w:val="000000" w:themeColor="text1"/>
                <w:szCs w:val="21"/>
                <w:highlight w:val="none"/>
              </w:rPr>
              <w:t>条款号</w:t>
            </w:r>
          </w:p>
        </w:tc>
        <w:tc>
          <w:tcPr>
            <w:tcW w:w="2389"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b/>
                <w:color w:val="000000" w:themeColor="text1"/>
                <w:szCs w:val="21"/>
                <w:highlight w:val="none"/>
              </w:rPr>
            </w:pPr>
            <w:r>
              <w:rPr>
                <w:rFonts w:ascii="Times New Roman" w:hAnsi="Times New Roman" w:eastAsia="宋体" w:cs="Times New Roman"/>
                <w:b/>
                <w:color w:val="000000" w:themeColor="text1"/>
                <w:szCs w:val="21"/>
                <w:highlight w:val="none"/>
              </w:rPr>
              <w:t>评审因素</w:t>
            </w:r>
          </w:p>
        </w:tc>
        <w:tc>
          <w:tcPr>
            <w:tcW w:w="531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b/>
                <w:color w:val="000000" w:themeColor="text1"/>
                <w:szCs w:val="21"/>
                <w:highlight w:val="none"/>
              </w:rPr>
            </w:pPr>
            <w:r>
              <w:rPr>
                <w:rFonts w:ascii="Times New Roman" w:hAnsi="Times New Roman" w:eastAsia="宋体" w:cs="Times New Roman"/>
                <w:b/>
                <w:color w:val="000000" w:themeColor="text1"/>
                <w:szCs w:val="21"/>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55" w:type="dxa"/>
        </w:trPr>
        <w:tc>
          <w:tcPr>
            <w:tcW w:w="743" w:type="dxa"/>
            <w:vMerge w:val="restart"/>
            <w:tcBorders>
              <w:top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2.1.1</w:t>
            </w:r>
          </w:p>
        </w:tc>
        <w:tc>
          <w:tcPr>
            <w:tcW w:w="1334" w:type="dxa"/>
            <w:vMerge w:val="restart"/>
            <w:tcBorders>
              <w:top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形式评审标准</w:t>
            </w:r>
          </w:p>
        </w:tc>
        <w:tc>
          <w:tcPr>
            <w:tcW w:w="2389"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投标</w:t>
            </w:r>
            <w:r>
              <w:rPr>
                <w:rFonts w:hint="eastAsia" w:ascii="Times New Roman" w:hAnsi="Times New Roman" w:eastAsia="宋体" w:cs="Times New Roman"/>
                <w:color w:val="000000" w:themeColor="text1"/>
                <w:szCs w:val="21"/>
                <w:highlight w:val="none"/>
              </w:rPr>
              <w:t>保证金</w:t>
            </w:r>
          </w:p>
        </w:tc>
        <w:tc>
          <w:tcPr>
            <w:tcW w:w="5316"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与</w:t>
            </w:r>
            <w:r>
              <w:rPr>
                <w:rFonts w:hint="eastAsia" w:ascii="Times New Roman" w:hAnsi="Times New Roman" w:eastAsia="宋体" w:cs="Times New Roman"/>
                <w:color w:val="000000" w:themeColor="text1"/>
                <w:szCs w:val="21"/>
                <w:highlight w:val="none"/>
              </w:rPr>
              <w:t>投标人名称</w:t>
            </w:r>
            <w:r>
              <w:rPr>
                <w:rFonts w:ascii="Times New Roman" w:hAnsi="Times New Roman" w:eastAsia="宋体" w:cs="Times New Roman"/>
                <w:color w:val="000000" w:themeColor="text1"/>
                <w:szCs w:val="21"/>
                <w:highlight w:val="none"/>
              </w:rPr>
              <w:t>一致</w:t>
            </w:r>
            <w:r>
              <w:rPr>
                <w:rFonts w:hint="eastAsia" w:ascii="Times New Roman" w:hAnsi="Times New Roman" w:eastAsia="宋体" w:cs="Times New Roman"/>
                <w:color w:val="000000" w:themeColor="text1"/>
                <w:szCs w:val="21"/>
                <w:highlight w:val="none"/>
              </w:rPr>
              <w:t>，符合招标文件《投标人须知前附表》12.1款要求。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55" w:type="dxa"/>
        </w:trPr>
        <w:tc>
          <w:tcPr>
            <w:tcW w:w="743" w:type="dxa"/>
            <w:vMerge w:val="continue"/>
            <w:tcBorders>
              <w:top w:val="nil"/>
              <w:bottom w:val="single" w:color="auto" w:sz="4" w:space="0"/>
              <w:right w:val="single" w:color="auto" w:sz="4" w:space="0"/>
            </w:tcBorders>
            <w:vAlign w:val="center"/>
          </w:tcPr>
          <w:p>
            <w:pPr>
              <w:spacing w:line="440" w:lineRule="exact"/>
              <w:jc w:val="center"/>
              <w:rPr>
                <w:rFonts w:ascii="Times New Roman" w:hAnsi="Times New Roman" w:eastAsia="宋体" w:cs="Times New Roman"/>
                <w:color w:val="000000" w:themeColor="text1"/>
                <w:sz w:val="24"/>
                <w:szCs w:val="24"/>
                <w:highlight w:val="none"/>
              </w:rPr>
            </w:pPr>
          </w:p>
        </w:tc>
        <w:tc>
          <w:tcPr>
            <w:tcW w:w="1334" w:type="dxa"/>
            <w:vMerge w:val="continue"/>
            <w:tcBorders>
              <w:top w:val="nil"/>
              <w:bottom w:val="single" w:color="auto" w:sz="4" w:space="0"/>
              <w:right w:val="single" w:color="auto" w:sz="4" w:space="0"/>
            </w:tcBorders>
            <w:vAlign w:val="center"/>
          </w:tcPr>
          <w:p>
            <w:pPr>
              <w:spacing w:line="440" w:lineRule="exact"/>
              <w:jc w:val="center"/>
              <w:rPr>
                <w:rFonts w:ascii="Times New Roman" w:hAnsi="Times New Roman" w:eastAsia="宋体" w:cs="Times New Roman"/>
                <w:color w:val="000000" w:themeColor="text1"/>
                <w:sz w:val="24"/>
                <w:szCs w:val="24"/>
                <w:highlight w:val="none"/>
              </w:rPr>
            </w:pPr>
          </w:p>
        </w:tc>
        <w:tc>
          <w:tcPr>
            <w:tcW w:w="2389"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投标文件的签署及盖章</w:t>
            </w:r>
          </w:p>
        </w:tc>
        <w:tc>
          <w:tcPr>
            <w:tcW w:w="5316"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color w:val="000000" w:themeColor="text1"/>
                <w:szCs w:val="21"/>
                <w:highlight w:val="none"/>
              </w:rPr>
            </w:pPr>
            <w:r>
              <w:rPr>
                <w:rFonts w:hint="eastAsia" w:ascii="宋体" w:hAnsi="宋体" w:eastAsia="宋体" w:cs="宋体"/>
                <w:color w:val="000000" w:themeColor="text1"/>
                <w:kern w:val="0"/>
                <w:szCs w:val="21"/>
                <w:highlight w:val="none"/>
              </w:rPr>
              <w:t>投标文件</w:t>
            </w:r>
            <w:r>
              <w:rPr>
                <w:rFonts w:hint="eastAsia" w:ascii="Times New Roman" w:hAnsi="Times New Roman" w:eastAsia="宋体" w:cs="Times New Roman"/>
                <w:color w:val="000000" w:themeColor="text1"/>
                <w:szCs w:val="21"/>
                <w:highlight w:val="none"/>
              </w:rPr>
              <w:t>格式</w:t>
            </w:r>
            <w:r>
              <w:rPr>
                <w:rFonts w:hint="eastAsia" w:ascii="宋体" w:hAnsi="宋体" w:eastAsia="宋体" w:cs="宋体"/>
                <w:color w:val="000000" w:themeColor="text1"/>
                <w:kern w:val="0"/>
                <w:szCs w:val="21"/>
                <w:highlight w:val="none"/>
              </w:rPr>
              <w:t>规定的签字盖章处法定代表人或其授权代理人的签字及盖章齐全。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55" w:type="dxa"/>
        </w:trPr>
        <w:tc>
          <w:tcPr>
            <w:tcW w:w="743" w:type="dxa"/>
            <w:vMerge w:val="continue"/>
            <w:tcBorders>
              <w:top w:val="nil"/>
              <w:bottom w:val="single" w:color="auto" w:sz="4" w:space="0"/>
              <w:right w:val="single" w:color="auto" w:sz="4" w:space="0"/>
            </w:tcBorders>
            <w:vAlign w:val="center"/>
          </w:tcPr>
          <w:p>
            <w:pPr>
              <w:spacing w:line="440" w:lineRule="exact"/>
              <w:jc w:val="center"/>
              <w:rPr>
                <w:rFonts w:ascii="Times New Roman" w:hAnsi="Times New Roman" w:eastAsia="宋体" w:cs="Times New Roman"/>
                <w:color w:val="000000" w:themeColor="text1"/>
                <w:sz w:val="24"/>
                <w:szCs w:val="24"/>
                <w:highlight w:val="none"/>
              </w:rPr>
            </w:pPr>
          </w:p>
        </w:tc>
        <w:tc>
          <w:tcPr>
            <w:tcW w:w="1334" w:type="dxa"/>
            <w:vMerge w:val="continue"/>
            <w:tcBorders>
              <w:top w:val="nil"/>
              <w:bottom w:val="single" w:color="auto" w:sz="4" w:space="0"/>
              <w:right w:val="single" w:color="auto" w:sz="4" w:space="0"/>
            </w:tcBorders>
            <w:vAlign w:val="center"/>
          </w:tcPr>
          <w:p>
            <w:pPr>
              <w:spacing w:line="440" w:lineRule="exact"/>
              <w:jc w:val="center"/>
              <w:rPr>
                <w:rFonts w:ascii="Times New Roman" w:hAnsi="Times New Roman" w:eastAsia="宋体" w:cs="Times New Roman"/>
                <w:color w:val="000000" w:themeColor="text1"/>
                <w:sz w:val="24"/>
                <w:szCs w:val="24"/>
                <w:highlight w:val="none"/>
              </w:rPr>
            </w:pPr>
          </w:p>
        </w:tc>
        <w:tc>
          <w:tcPr>
            <w:tcW w:w="2389"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新宋体" w:cs="Times New Roman"/>
                <w:color w:val="000000" w:themeColor="text1"/>
                <w:szCs w:val="24"/>
                <w:highlight w:val="none"/>
              </w:rPr>
            </w:pPr>
            <w:r>
              <w:rPr>
                <w:rFonts w:hint="eastAsia" w:ascii="Times New Roman" w:hAnsi="Times New Roman" w:eastAsia="新宋体" w:cs="Times New Roman"/>
                <w:color w:val="000000" w:themeColor="text1"/>
                <w:szCs w:val="24"/>
                <w:highlight w:val="none"/>
              </w:rPr>
              <w:t>委托代理人</w:t>
            </w:r>
          </w:p>
        </w:tc>
        <w:tc>
          <w:tcPr>
            <w:tcW w:w="5316"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新宋体" w:cs="Times New Roman"/>
                <w:color w:val="000000" w:themeColor="text1"/>
                <w:szCs w:val="24"/>
                <w:highlight w:val="none"/>
              </w:rPr>
            </w:pPr>
            <w:r>
              <w:rPr>
                <w:rFonts w:hint="eastAsia" w:ascii="Times New Roman" w:hAnsi="Times New Roman" w:eastAsia="新宋体" w:cs="Times New Roman"/>
                <w:color w:val="000000" w:themeColor="text1"/>
                <w:szCs w:val="24"/>
                <w:highlight w:val="none"/>
              </w:rPr>
              <w:t>投标人法定代表人的委托代理人有法定代表人签署的授权委托书，且其授权委托书符合招标文件规定的格式。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55" w:type="dxa"/>
          <w:trHeight w:val="320" w:hRule="atLeast"/>
        </w:trPr>
        <w:tc>
          <w:tcPr>
            <w:tcW w:w="743" w:type="dxa"/>
            <w:vMerge w:val="continue"/>
            <w:tcBorders>
              <w:top w:val="nil"/>
              <w:bottom w:val="single" w:color="auto" w:sz="4" w:space="0"/>
              <w:right w:val="single" w:color="auto" w:sz="4" w:space="0"/>
            </w:tcBorders>
            <w:vAlign w:val="center"/>
          </w:tcPr>
          <w:p>
            <w:pPr>
              <w:spacing w:line="440" w:lineRule="exact"/>
              <w:jc w:val="center"/>
              <w:rPr>
                <w:rFonts w:ascii="Times New Roman" w:hAnsi="Times New Roman" w:eastAsia="宋体" w:cs="Times New Roman"/>
                <w:color w:val="000000" w:themeColor="text1"/>
                <w:sz w:val="24"/>
                <w:szCs w:val="24"/>
                <w:highlight w:val="none"/>
              </w:rPr>
            </w:pPr>
          </w:p>
        </w:tc>
        <w:tc>
          <w:tcPr>
            <w:tcW w:w="1334" w:type="dxa"/>
            <w:vMerge w:val="continue"/>
            <w:tcBorders>
              <w:top w:val="nil"/>
              <w:bottom w:val="single" w:color="auto" w:sz="4" w:space="0"/>
              <w:right w:val="single" w:color="auto" w:sz="4" w:space="0"/>
            </w:tcBorders>
            <w:vAlign w:val="center"/>
          </w:tcPr>
          <w:p>
            <w:pPr>
              <w:spacing w:line="440" w:lineRule="exact"/>
              <w:jc w:val="center"/>
              <w:rPr>
                <w:rFonts w:ascii="Times New Roman" w:hAnsi="Times New Roman" w:eastAsia="宋体" w:cs="Times New Roman"/>
                <w:color w:val="000000" w:themeColor="text1"/>
                <w:sz w:val="24"/>
                <w:szCs w:val="24"/>
                <w:highlight w:val="none"/>
              </w:rPr>
            </w:pPr>
          </w:p>
        </w:tc>
        <w:tc>
          <w:tcPr>
            <w:tcW w:w="2389"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报价唯一</w:t>
            </w:r>
          </w:p>
        </w:tc>
        <w:tc>
          <w:tcPr>
            <w:tcW w:w="5316"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只能一个有效报价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55" w:type="dxa"/>
        </w:trPr>
        <w:tc>
          <w:tcPr>
            <w:tcW w:w="743" w:type="dxa"/>
            <w:vMerge w:val="restart"/>
            <w:tcBorders>
              <w:top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2.1.2</w:t>
            </w:r>
          </w:p>
        </w:tc>
        <w:tc>
          <w:tcPr>
            <w:tcW w:w="1334" w:type="dxa"/>
            <w:vMerge w:val="restart"/>
            <w:tcBorders>
              <w:top w:val="single" w:color="auto" w:sz="4" w:space="0"/>
              <w:bottom w:val="single" w:color="auto" w:sz="4" w:space="0"/>
              <w:right w:val="single" w:color="auto" w:sz="4" w:space="0"/>
            </w:tcBorders>
            <w:vAlign w:val="center"/>
          </w:tcPr>
          <w:p>
            <w:pPr>
              <w:spacing w:line="440" w:lineRule="exact"/>
              <w:jc w:val="center"/>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资格评审标准</w:t>
            </w:r>
          </w:p>
        </w:tc>
        <w:tc>
          <w:tcPr>
            <w:tcW w:w="2389"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营业执照</w:t>
            </w:r>
          </w:p>
        </w:tc>
        <w:tc>
          <w:tcPr>
            <w:tcW w:w="5316"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具备有效的营业执照</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743" w:type="dxa"/>
            <w:vMerge w:val="continue"/>
            <w:tcBorders>
              <w:top w:val="nil"/>
              <w:bottom w:val="single" w:color="auto" w:sz="4" w:space="0"/>
              <w:right w:val="single" w:color="auto" w:sz="4" w:space="0"/>
            </w:tcBorders>
            <w:vAlign w:val="center"/>
          </w:tcPr>
          <w:p>
            <w:pPr>
              <w:spacing w:line="440" w:lineRule="exact"/>
              <w:jc w:val="center"/>
              <w:rPr>
                <w:rFonts w:ascii="Times New Roman" w:hAnsi="Times New Roman" w:eastAsia="宋体" w:cs="Times New Roman"/>
                <w:color w:val="000000" w:themeColor="text1"/>
                <w:sz w:val="24"/>
                <w:szCs w:val="24"/>
                <w:highlight w:val="none"/>
              </w:rPr>
            </w:pPr>
          </w:p>
        </w:tc>
        <w:tc>
          <w:tcPr>
            <w:tcW w:w="1334" w:type="dxa"/>
            <w:vMerge w:val="continue"/>
            <w:tcBorders>
              <w:top w:val="nil"/>
              <w:bottom w:val="single" w:color="auto" w:sz="4" w:space="0"/>
              <w:right w:val="single" w:color="auto" w:sz="4" w:space="0"/>
            </w:tcBorders>
            <w:vAlign w:val="center"/>
          </w:tcPr>
          <w:p>
            <w:pPr>
              <w:spacing w:line="440" w:lineRule="exact"/>
              <w:jc w:val="center"/>
              <w:rPr>
                <w:rFonts w:ascii="Times New Roman" w:hAnsi="Times New Roman" w:eastAsia="宋体" w:cs="Times New Roman"/>
                <w:color w:val="000000" w:themeColor="text1"/>
                <w:sz w:val="24"/>
                <w:szCs w:val="24"/>
                <w:highlight w:val="none"/>
              </w:rPr>
            </w:pPr>
          </w:p>
        </w:tc>
        <w:tc>
          <w:tcPr>
            <w:tcW w:w="2389"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其它资格条件要求</w:t>
            </w:r>
          </w:p>
        </w:tc>
        <w:tc>
          <w:tcPr>
            <w:tcW w:w="5316"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符合第二章</w:t>
            </w:r>
            <w:r>
              <w:rPr>
                <w:rFonts w:ascii="Times New Roman" w:hAnsi="Times New Roman" w:eastAsia="宋体" w:cs="Times New Roman"/>
                <w:b/>
                <w:color w:val="000000" w:themeColor="text1"/>
                <w:szCs w:val="21"/>
                <w:highlight w:val="none"/>
              </w:rPr>
              <w:t>投标人须知</w:t>
            </w:r>
            <w:r>
              <w:rPr>
                <w:rFonts w:hint="eastAsia" w:ascii="Times New Roman" w:hAnsi="Times New Roman" w:eastAsia="宋体" w:cs="Times New Roman"/>
                <w:b/>
                <w:color w:val="000000" w:themeColor="text1"/>
                <w:szCs w:val="21"/>
                <w:highlight w:val="none"/>
              </w:rPr>
              <w:t>前附表</w:t>
            </w:r>
            <w:r>
              <w:rPr>
                <w:rFonts w:hint="eastAsia" w:ascii="Times New Roman" w:hAnsi="Times New Roman" w:eastAsia="宋体" w:cs="Times New Roman"/>
                <w:color w:val="000000" w:themeColor="text1"/>
                <w:szCs w:val="21"/>
                <w:highlight w:val="none"/>
              </w:rPr>
              <w:t>2.3、2.4</w:t>
            </w:r>
            <w:r>
              <w:rPr>
                <w:rFonts w:ascii="Times New Roman" w:hAnsi="Times New Roman" w:eastAsia="宋体" w:cs="Times New Roman"/>
                <w:color w:val="000000" w:themeColor="text1"/>
                <w:szCs w:val="21"/>
                <w:highlight w:val="none"/>
              </w:rPr>
              <w:t>项规定</w:t>
            </w:r>
          </w:p>
        </w:tc>
        <w:tc>
          <w:tcPr>
            <w:tcW w:w="255" w:type="dxa"/>
          </w:tcPr>
          <w:p>
            <w:pPr>
              <w:widowControl/>
              <w:jc w:val="left"/>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ab/>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55" w:type="dxa"/>
        </w:trPr>
        <w:tc>
          <w:tcPr>
            <w:tcW w:w="743" w:type="dxa"/>
            <w:vMerge w:val="restart"/>
            <w:tcBorders>
              <w:top w:val="single" w:color="auto" w:sz="4" w:space="0"/>
              <w:right w:val="single" w:color="auto" w:sz="4" w:space="0"/>
            </w:tcBorders>
            <w:vAlign w:val="center"/>
          </w:tcPr>
          <w:p>
            <w:pPr>
              <w:spacing w:line="440" w:lineRule="exact"/>
              <w:jc w:val="cente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2.1.3</w:t>
            </w:r>
          </w:p>
        </w:tc>
        <w:tc>
          <w:tcPr>
            <w:tcW w:w="1334" w:type="dxa"/>
            <w:vMerge w:val="restart"/>
            <w:tcBorders>
              <w:top w:val="single" w:color="auto" w:sz="4" w:space="0"/>
              <w:right w:val="single" w:color="auto" w:sz="4" w:space="0"/>
            </w:tcBorders>
            <w:vAlign w:val="center"/>
          </w:tcPr>
          <w:p>
            <w:pPr>
              <w:spacing w:line="440" w:lineRule="exact"/>
              <w:jc w:val="cente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响应性评审</w:t>
            </w:r>
          </w:p>
          <w:p>
            <w:pPr>
              <w:spacing w:line="440" w:lineRule="exact"/>
              <w:jc w:val="cente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标准</w:t>
            </w:r>
          </w:p>
        </w:tc>
        <w:tc>
          <w:tcPr>
            <w:tcW w:w="2389"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新宋体" w:cs="Times New Roman"/>
                <w:color w:val="000000" w:themeColor="text1"/>
                <w:szCs w:val="24"/>
                <w:highlight w:val="none"/>
              </w:rPr>
            </w:pPr>
            <w:r>
              <w:rPr>
                <w:rFonts w:hint="eastAsia" w:ascii="Times New Roman" w:hAnsi="Times New Roman" w:eastAsia="新宋体" w:cs="Times New Roman"/>
                <w:color w:val="000000" w:themeColor="text1"/>
                <w:szCs w:val="24"/>
                <w:highlight w:val="none"/>
              </w:rPr>
              <w:t>货物规格型号及数量</w:t>
            </w:r>
          </w:p>
        </w:tc>
        <w:tc>
          <w:tcPr>
            <w:tcW w:w="5316"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新宋体" w:cs="Times New Roman"/>
                <w:color w:val="000000" w:themeColor="text1"/>
                <w:szCs w:val="24"/>
                <w:highlight w:val="none"/>
              </w:rPr>
            </w:pPr>
            <w:r>
              <w:rPr>
                <w:rFonts w:hint="eastAsia" w:ascii="Times New Roman" w:hAnsi="Times New Roman" w:eastAsia="新宋体" w:cs="Times New Roman"/>
                <w:color w:val="000000" w:themeColor="text1"/>
                <w:szCs w:val="24"/>
                <w:highlight w:val="none"/>
              </w:rPr>
              <w:t>符合第二章</w:t>
            </w:r>
            <w:r>
              <w:rPr>
                <w:rFonts w:hint="eastAsia" w:ascii="Times New Roman" w:hAnsi="Times New Roman" w:eastAsia="新宋体" w:cs="Times New Roman"/>
                <w:b/>
                <w:color w:val="000000" w:themeColor="text1"/>
                <w:szCs w:val="24"/>
                <w:highlight w:val="none"/>
              </w:rPr>
              <w:t>投标人须知前附表</w:t>
            </w:r>
            <w:r>
              <w:rPr>
                <w:rFonts w:hint="eastAsia" w:ascii="Times New Roman" w:hAnsi="Times New Roman" w:eastAsia="新宋体" w:cs="Times New Roman"/>
                <w:color w:val="000000" w:themeColor="text1"/>
                <w:szCs w:val="24"/>
                <w:highlight w:val="none"/>
              </w:rPr>
              <w:t>第</w:t>
            </w:r>
            <w:r>
              <w:rPr>
                <w:rFonts w:ascii="Times New Roman" w:hAnsi="Times New Roman" w:eastAsia="新宋体" w:cs="Times New Roman"/>
                <w:color w:val="000000" w:themeColor="text1"/>
                <w:szCs w:val="24"/>
                <w:highlight w:val="none"/>
              </w:rPr>
              <w:t>1.5</w:t>
            </w:r>
            <w:r>
              <w:rPr>
                <w:rFonts w:hint="eastAsia" w:ascii="Times New Roman" w:hAnsi="Times New Roman" w:eastAsia="新宋体" w:cs="Times New Roman"/>
                <w:color w:val="000000" w:themeColor="text1"/>
                <w:szCs w:val="24"/>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55" w:type="dxa"/>
        </w:trPr>
        <w:tc>
          <w:tcPr>
            <w:tcW w:w="743" w:type="dxa"/>
            <w:vMerge w:val="continue"/>
            <w:tcBorders>
              <w:right w:val="single" w:color="auto" w:sz="4" w:space="0"/>
            </w:tcBorders>
            <w:vAlign w:val="center"/>
          </w:tcPr>
          <w:p>
            <w:pPr>
              <w:spacing w:line="440" w:lineRule="exact"/>
              <w:jc w:val="center"/>
              <w:rPr>
                <w:rFonts w:ascii="Times New Roman" w:hAnsi="Times New Roman" w:eastAsia="宋体" w:cs="Times New Roman"/>
                <w:color w:val="000000" w:themeColor="text1"/>
                <w:szCs w:val="21"/>
                <w:highlight w:val="none"/>
              </w:rPr>
            </w:pPr>
          </w:p>
        </w:tc>
        <w:tc>
          <w:tcPr>
            <w:tcW w:w="1334" w:type="dxa"/>
            <w:vMerge w:val="continue"/>
            <w:tcBorders>
              <w:right w:val="single" w:color="auto" w:sz="4" w:space="0"/>
            </w:tcBorders>
            <w:vAlign w:val="center"/>
          </w:tcPr>
          <w:p>
            <w:pPr>
              <w:spacing w:line="440" w:lineRule="exact"/>
              <w:jc w:val="center"/>
              <w:rPr>
                <w:rFonts w:ascii="Times New Roman" w:hAnsi="Times New Roman" w:eastAsia="宋体" w:cs="Times New Roman"/>
                <w:color w:val="000000" w:themeColor="text1"/>
                <w:szCs w:val="21"/>
                <w:highlight w:val="none"/>
              </w:rPr>
            </w:pPr>
          </w:p>
        </w:tc>
        <w:tc>
          <w:tcPr>
            <w:tcW w:w="2389"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新宋体" w:cs="Times New Roman"/>
                <w:color w:val="000000" w:themeColor="text1"/>
                <w:szCs w:val="24"/>
                <w:highlight w:val="none"/>
              </w:rPr>
            </w:pPr>
            <w:r>
              <w:rPr>
                <w:rFonts w:hint="eastAsia" w:ascii="Times New Roman" w:hAnsi="Times New Roman" w:eastAsia="新宋体" w:cs="Times New Roman"/>
                <w:color w:val="000000" w:themeColor="text1"/>
                <w:szCs w:val="24"/>
                <w:highlight w:val="none"/>
              </w:rPr>
              <w:t>供货时间</w:t>
            </w:r>
          </w:p>
        </w:tc>
        <w:tc>
          <w:tcPr>
            <w:tcW w:w="5316"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新宋体" w:cs="Times New Roman"/>
                <w:color w:val="000000" w:themeColor="text1"/>
                <w:szCs w:val="24"/>
                <w:highlight w:val="none"/>
              </w:rPr>
            </w:pPr>
            <w:r>
              <w:rPr>
                <w:rFonts w:hint="eastAsia" w:ascii="Times New Roman" w:hAnsi="Times New Roman" w:eastAsia="新宋体" w:cs="Times New Roman"/>
                <w:color w:val="000000" w:themeColor="text1"/>
                <w:szCs w:val="24"/>
                <w:highlight w:val="none"/>
              </w:rPr>
              <w:t>符合第二章</w:t>
            </w:r>
            <w:r>
              <w:rPr>
                <w:rFonts w:hint="eastAsia" w:ascii="Times New Roman" w:hAnsi="Times New Roman" w:eastAsia="新宋体" w:cs="Times New Roman"/>
                <w:b/>
                <w:color w:val="000000" w:themeColor="text1"/>
                <w:szCs w:val="24"/>
                <w:highlight w:val="none"/>
              </w:rPr>
              <w:t>投标人须知前附表</w:t>
            </w:r>
            <w:r>
              <w:rPr>
                <w:rFonts w:hint="eastAsia" w:ascii="Times New Roman" w:hAnsi="Times New Roman" w:eastAsia="新宋体" w:cs="Times New Roman"/>
                <w:color w:val="000000" w:themeColor="text1"/>
                <w:szCs w:val="24"/>
                <w:highlight w:val="none"/>
              </w:rPr>
              <w:t>第</w:t>
            </w:r>
            <w:r>
              <w:rPr>
                <w:rFonts w:ascii="Times New Roman" w:hAnsi="Times New Roman" w:eastAsia="新宋体" w:cs="Times New Roman"/>
                <w:color w:val="000000" w:themeColor="text1"/>
                <w:szCs w:val="24"/>
                <w:highlight w:val="none"/>
              </w:rPr>
              <w:t>1.6</w:t>
            </w:r>
            <w:r>
              <w:rPr>
                <w:rFonts w:hint="eastAsia" w:ascii="Times New Roman" w:hAnsi="Times New Roman" w:eastAsia="新宋体" w:cs="Times New Roman"/>
                <w:color w:val="000000" w:themeColor="text1"/>
                <w:szCs w:val="24"/>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55" w:type="dxa"/>
        </w:trPr>
        <w:tc>
          <w:tcPr>
            <w:tcW w:w="743" w:type="dxa"/>
            <w:vMerge w:val="continue"/>
            <w:tcBorders>
              <w:right w:val="single" w:color="auto" w:sz="4" w:space="0"/>
            </w:tcBorders>
            <w:vAlign w:val="center"/>
          </w:tcPr>
          <w:p>
            <w:pPr>
              <w:spacing w:line="440" w:lineRule="exact"/>
              <w:jc w:val="center"/>
              <w:rPr>
                <w:rFonts w:ascii="Times New Roman" w:hAnsi="Times New Roman" w:eastAsia="宋体" w:cs="Times New Roman"/>
                <w:color w:val="000000" w:themeColor="text1"/>
                <w:szCs w:val="21"/>
                <w:highlight w:val="none"/>
              </w:rPr>
            </w:pPr>
          </w:p>
        </w:tc>
        <w:tc>
          <w:tcPr>
            <w:tcW w:w="1334" w:type="dxa"/>
            <w:vMerge w:val="continue"/>
            <w:tcBorders>
              <w:right w:val="single" w:color="auto" w:sz="4" w:space="0"/>
            </w:tcBorders>
            <w:vAlign w:val="center"/>
          </w:tcPr>
          <w:p>
            <w:pPr>
              <w:spacing w:line="440" w:lineRule="exact"/>
              <w:jc w:val="center"/>
              <w:rPr>
                <w:rFonts w:ascii="Times New Roman" w:hAnsi="Times New Roman" w:eastAsia="宋体" w:cs="Times New Roman"/>
                <w:color w:val="000000" w:themeColor="text1"/>
                <w:szCs w:val="21"/>
                <w:highlight w:val="none"/>
              </w:rPr>
            </w:pPr>
          </w:p>
        </w:tc>
        <w:tc>
          <w:tcPr>
            <w:tcW w:w="2389"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新宋体" w:cs="Times New Roman"/>
                <w:color w:val="000000" w:themeColor="text1"/>
                <w:szCs w:val="24"/>
                <w:highlight w:val="none"/>
              </w:rPr>
            </w:pPr>
            <w:r>
              <w:rPr>
                <w:rFonts w:hint="eastAsia" w:ascii="Times New Roman" w:hAnsi="Times New Roman" w:eastAsia="新宋体" w:cs="Times New Roman"/>
                <w:color w:val="000000" w:themeColor="text1"/>
                <w:szCs w:val="24"/>
                <w:highlight w:val="none"/>
              </w:rPr>
              <w:t>投标报价</w:t>
            </w:r>
          </w:p>
        </w:tc>
        <w:tc>
          <w:tcPr>
            <w:tcW w:w="5316" w:type="dxa"/>
            <w:tcBorders>
              <w:top w:val="single" w:color="auto" w:sz="4" w:space="0"/>
              <w:left w:val="single" w:color="auto" w:sz="4" w:space="0"/>
              <w:bottom w:val="single" w:color="auto" w:sz="4" w:space="0"/>
              <w:right w:val="single" w:color="auto" w:sz="4" w:space="0"/>
            </w:tcBorders>
            <w:vAlign w:val="center"/>
          </w:tcPr>
          <w:p>
            <w:pPr>
              <w:pStyle w:val="12"/>
              <w:rPr>
                <w:rFonts w:ascii="Times New Roman" w:hAnsi="Times New Roman" w:eastAsia="新宋体" w:cs="Times New Roman"/>
                <w:b/>
                <w:color w:val="000000" w:themeColor="text1"/>
                <w:szCs w:val="24"/>
                <w:highlight w:val="none"/>
              </w:rPr>
            </w:pPr>
            <w:r>
              <w:rPr>
                <w:rFonts w:hint="eastAsia" w:ascii="Times New Roman" w:hAnsi="Times New Roman" w:eastAsia="新宋体" w:cs="Times New Roman"/>
                <w:color w:val="000000" w:themeColor="text1"/>
                <w:szCs w:val="24"/>
                <w:highlight w:val="none"/>
              </w:rPr>
              <w:t>本项目采购预算： 620 万元，投标人投标总报价不得超过该项目采购预算，否则作否决投标处理。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55" w:type="dxa"/>
          <w:trHeight w:val="399" w:hRule="atLeast"/>
        </w:trPr>
        <w:tc>
          <w:tcPr>
            <w:tcW w:w="743" w:type="dxa"/>
            <w:vMerge w:val="continue"/>
            <w:tcBorders>
              <w:right w:val="single" w:color="auto" w:sz="4" w:space="0"/>
            </w:tcBorders>
            <w:vAlign w:val="center"/>
          </w:tcPr>
          <w:p>
            <w:pPr>
              <w:spacing w:line="440" w:lineRule="exact"/>
              <w:jc w:val="center"/>
              <w:rPr>
                <w:rFonts w:ascii="Times New Roman" w:hAnsi="Times New Roman" w:eastAsia="宋体" w:cs="Times New Roman"/>
                <w:color w:val="000000" w:themeColor="text1"/>
                <w:szCs w:val="21"/>
                <w:highlight w:val="none"/>
              </w:rPr>
            </w:pPr>
          </w:p>
        </w:tc>
        <w:tc>
          <w:tcPr>
            <w:tcW w:w="1334" w:type="dxa"/>
            <w:vMerge w:val="continue"/>
            <w:tcBorders>
              <w:right w:val="single" w:color="auto" w:sz="4" w:space="0"/>
            </w:tcBorders>
            <w:vAlign w:val="center"/>
          </w:tcPr>
          <w:p>
            <w:pPr>
              <w:spacing w:line="440" w:lineRule="exact"/>
              <w:jc w:val="center"/>
              <w:rPr>
                <w:rFonts w:ascii="Times New Roman" w:hAnsi="Times New Roman" w:eastAsia="宋体" w:cs="Times New Roman"/>
                <w:color w:val="000000" w:themeColor="text1"/>
                <w:szCs w:val="21"/>
                <w:highlight w:val="none"/>
              </w:rPr>
            </w:pPr>
          </w:p>
        </w:tc>
        <w:tc>
          <w:tcPr>
            <w:tcW w:w="2389" w:type="dxa"/>
            <w:gridSpan w:val="4"/>
            <w:tcBorders>
              <w:top w:val="single" w:color="auto" w:sz="4" w:space="0"/>
              <w:left w:val="single" w:color="auto" w:sz="4" w:space="0"/>
              <w:right w:val="single" w:color="auto" w:sz="4" w:space="0"/>
            </w:tcBorders>
            <w:vAlign w:val="center"/>
          </w:tcPr>
          <w:p>
            <w:pPr>
              <w:rPr>
                <w:rFonts w:ascii="Times New Roman" w:hAnsi="Times New Roman" w:eastAsia="新宋体" w:cs="Times New Roman"/>
                <w:color w:val="000000" w:themeColor="text1"/>
                <w:szCs w:val="24"/>
                <w:highlight w:val="none"/>
              </w:rPr>
            </w:pPr>
            <w:r>
              <w:rPr>
                <w:rFonts w:hint="eastAsia" w:ascii="Times New Roman" w:hAnsi="Times New Roman" w:eastAsia="新宋体" w:cs="Times New Roman"/>
                <w:color w:val="000000" w:themeColor="text1"/>
                <w:szCs w:val="24"/>
                <w:highlight w:val="none"/>
              </w:rPr>
              <w:t>商务符合性</w:t>
            </w:r>
          </w:p>
        </w:tc>
        <w:tc>
          <w:tcPr>
            <w:tcW w:w="5316" w:type="dxa"/>
            <w:tcBorders>
              <w:top w:val="single" w:color="auto" w:sz="4" w:space="0"/>
              <w:left w:val="single" w:color="auto" w:sz="4" w:space="0"/>
              <w:right w:val="single" w:color="auto" w:sz="4" w:space="0"/>
            </w:tcBorders>
            <w:vAlign w:val="center"/>
          </w:tcPr>
          <w:p>
            <w:pPr>
              <w:rPr>
                <w:rFonts w:ascii="Times New Roman" w:hAnsi="Times New Roman" w:eastAsia="新宋体" w:cs="Times New Roman"/>
                <w:color w:val="000000" w:themeColor="text1"/>
                <w:szCs w:val="24"/>
                <w:highlight w:val="none"/>
              </w:rPr>
            </w:pPr>
            <w:r>
              <w:rPr>
                <w:rFonts w:hint="eastAsia" w:ascii="Times New Roman" w:hAnsi="Times New Roman" w:eastAsia="新宋体" w:cs="Times New Roman"/>
                <w:color w:val="000000" w:themeColor="text1"/>
                <w:szCs w:val="24"/>
                <w:highlight w:val="none"/>
              </w:rPr>
              <w:t>符合商务符合性应答表中的要求（无负偏离）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55" w:type="dxa"/>
          <w:trHeight w:val="399" w:hRule="atLeast"/>
        </w:trPr>
        <w:tc>
          <w:tcPr>
            <w:tcW w:w="743" w:type="dxa"/>
            <w:vMerge w:val="continue"/>
            <w:tcBorders>
              <w:right w:val="single" w:color="auto" w:sz="4" w:space="0"/>
            </w:tcBorders>
            <w:vAlign w:val="center"/>
          </w:tcPr>
          <w:p>
            <w:pPr>
              <w:spacing w:line="440" w:lineRule="exact"/>
              <w:jc w:val="center"/>
              <w:rPr>
                <w:rFonts w:ascii="Times New Roman" w:hAnsi="Times New Roman" w:eastAsia="宋体" w:cs="Times New Roman"/>
                <w:color w:val="000000" w:themeColor="text1"/>
                <w:szCs w:val="21"/>
                <w:highlight w:val="none"/>
              </w:rPr>
            </w:pPr>
          </w:p>
        </w:tc>
        <w:tc>
          <w:tcPr>
            <w:tcW w:w="1334" w:type="dxa"/>
            <w:vMerge w:val="continue"/>
            <w:tcBorders>
              <w:right w:val="single" w:color="auto" w:sz="4" w:space="0"/>
            </w:tcBorders>
            <w:vAlign w:val="center"/>
          </w:tcPr>
          <w:p>
            <w:pPr>
              <w:spacing w:line="440" w:lineRule="exact"/>
              <w:jc w:val="center"/>
              <w:rPr>
                <w:rFonts w:ascii="Times New Roman" w:hAnsi="Times New Roman" w:eastAsia="宋体" w:cs="Times New Roman"/>
                <w:color w:val="000000" w:themeColor="text1"/>
                <w:szCs w:val="21"/>
                <w:highlight w:val="none"/>
              </w:rPr>
            </w:pPr>
          </w:p>
        </w:tc>
        <w:tc>
          <w:tcPr>
            <w:tcW w:w="2389" w:type="dxa"/>
            <w:gridSpan w:val="4"/>
            <w:tcBorders>
              <w:top w:val="single" w:color="auto" w:sz="4" w:space="0"/>
              <w:left w:val="single" w:color="auto" w:sz="4" w:space="0"/>
              <w:right w:val="single" w:color="auto" w:sz="4" w:space="0"/>
            </w:tcBorders>
            <w:vAlign w:val="center"/>
          </w:tcPr>
          <w:p>
            <w:pPr>
              <w:rPr>
                <w:rFonts w:ascii="Times New Roman" w:hAnsi="Times New Roman" w:eastAsia="新宋体" w:cs="Times New Roman"/>
                <w:color w:val="000000" w:themeColor="text1"/>
                <w:szCs w:val="24"/>
                <w:highlight w:val="none"/>
              </w:rPr>
            </w:pPr>
            <w:r>
              <w:rPr>
                <w:rFonts w:hint="eastAsia" w:ascii="Times New Roman" w:hAnsi="Times New Roman" w:eastAsia="新宋体" w:cs="Times New Roman"/>
                <w:color w:val="000000" w:themeColor="text1"/>
                <w:szCs w:val="24"/>
                <w:highlight w:val="none"/>
              </w:rPr>
              <w:t>技术符合性</w:t>
            </w:r>
          </w:p>
        </w:tc>
        <w:tc>
          <w:tcPr>
            <w:tcW w:w="5316" w:type="dxa"/>
            <w:tcBorders>
              <w:top w:val="single" w:color="auto" w:sz="4" w:space="0"/>
              <w:left w:val="single" w:color="auto" w:sz="4" w:space="0"/>
              <w:right w:val="single" w:color="auto" w:sz="4" w:space="0"/>
            </w:tcBorders>
            <w:vAlign w:val="center"/>
          </w:tcPr>
          <w:p>
            <w:pPr>
              <w:rPr>
                <w:rFonts w:ascii="Times New Roman" w:hAnsi="Times New Roman" w:eastAsia="新宋体" w:cs="Times New Roman"/>
                <w:color w:val="000000" w:themeColor="text1"/>
                <w:szCs w:val="24"/>
                <w:highlight w:val="none"/>
              </w:rPr>
            </w:pPr>
            <w:r>
              <w:rPr>
                <w:rFonts w:hint="eastAsia" w:ascii="Times New Roman" w:hAnsi="Times New Roman" w:eastAsia="新宋体" w:cs="Times New Roman"/>
                <w:color w:val="000000" w:themeColor="text1"/>
                <w:szCs w:val="24"/>
                <w:highlight w:val="none"/>
              </w:rPr>
              <w:t>符合技术符合性应答表中的要求（无负偏离）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55" w:type="dxa"/>
        </w:trPr>
        <w:tc>
          <w:tcPr>
            <w:tcW w:w="743" w:type="dxa"/>
            <w:vMerge w:val="continue"/>
            <w:tcBorders>
              <w:right w:val="single" w:color="auto" w:sz="4" w:space="0"/>
            </w:tcBorders>
            <w:vAlign w:val="center"/>
          </w:tcPr>
          <w:p>
            <w:pPr>
              <w:spacing w:line="440" w:lineRule="exact"/>
              <w:jc w:val="center"/>
              <w:rPr>
                <w:rFonts w:ascii="Times New Roman" w:hAnsi="Times New Roman" w:eastAsia="宋体" w:cs="Times New Roman"/>
                <w:color w:val="000000" w:themeColor="text1"/>
                <w:szCs w:val="21"/>
                <w:highlight w:val="none"/>
              </w:rPr>
            </w:pPr>
            <w:r>
              <w:rPr>
                <w:rStyle w:val="54"/>
                <w:color w:val="000000" w:themeColor="text1"/>
                <w:highlight w:val="none"/>
              </w:rPr>
              <w:commentReference w:id="0"/>
            </w:r>
          </w:p>
        </w:tc>
        <w:tc>
          <w:tcPr>
            <w:tcW w:w="1334" w:type="dxa"/>
            <w:vMerge w:val="continue"/>
            <w:tcBorders>
              <w:right w:val="single" w:color="auto" w:sz="4" w:space="0"/>
            </w:tcBorders>
            <w:vAlign w:val="center"/>
          </w:tcPr>
          <w:p>
            <w:pPr>
              <w:spacing w:line="440" w:lineRule="exact"/>
              <w:jc w:val="center"/>
              <w:rPr>
                <w:rFonts w:ascii="Times New Roman" w:hAnsi="Times New Roman" w:eastAsia="宋体" w:cs="Times New Roman"/>
                <w:color w:val="000000" w:themeColor="text1"/>
                <w:szCs w:val="21"/>
                <w:highlight w:val="none"/>
              </w:rPr>
            </w:pPr>
          </w:p>
        </w:tc>
        <w:tc>
          <w:tcPr>
            <w:tcW w:w="2389"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新宋体" w:cs="Times New Roman"/>
                <w:color w:val="000000" w:themeColor="text1"/>
                <w:szCs w:val="24"/>
                <w:highlight w:val="none"/>
              </w:rPr>
            </w:pPr>
            <w:r>
              <w:rPr>
                <w:rFonts w:hint="eastAsia" w:ascii="Times New Roman" w:hAnsi="Times New Roman" w:eastAsia="新宋体" w:cs="Times New Roman"/>
                <w:color w:val="000000" w:themeColor="text1"/>
                <w:szCs w:val="24"/>
                <w:highlight w:val="none"/>
              </w:rPr>
              <w:t>投标有效期</w:t>
            </w:r>
          </w:p>
        </w:tc>
        <w:tc>
          <w:tcPr>
            <w:tcW w:w="5316"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新宋体" w:cs="Times New Roman"/>
                <w:color w:val="000000" w:themeColor="text1"/>
                <w:szCs w:val="24"/>
                <w:highlight w:val="none"/>
              </w:rPr>
            </w:pPr>
            <w:r>
              <w:rPr>
                <w:rFonts w:hint="eastAsia" w:ascii="Times New Roman" w:hAnsi="Times New Roman" w:eastAsia="新宋体" w:cs="Times New Roman"/>
                <w:color w:val="000000" w:themeColor="text1"/>
                <w:szCs w:val="24"/>
                <w:highlight w:val="none"/>
              </w:rPr>
              <w:t>符合第二章第一节</w:t>
            </w:r>
            <w:r>
              <w:rPr>
                <w:rFonts w:hint="eastAsia" w:ascii="Times New Roman" w:hAnsi="Times New Roman" w:eastAsia="新宋体" w:cs="Times New Roman"/>
                <w:b/>
                <w:color w:val="000000" w:themeColor="text1"/>
                <w:szCs w:val="24"/>
                <w:highlight w:val="none"/>
              </w:rPr>
              <w:t>投标人须知前附表</w:t>
            </w:r>
            <w:r>
              <w:rPr>
                <w:rFonts w:hint="eastAsia" w:ascii="Times New Roman" w:hAnsi="Times New Roman" w:eastAsia="新宋体" w:cs="Times New Roman"/>
                <w:color w:val="000000" w:themeColor="text1"/>
                <w:szCs w:val="24"/>
                <w:highlight w:val="none"/>
              </w:rPr>
              <w:t>第</w:t>
            </w:r>
            <w:r>
              <w:rPr>
                <w:rFonts w:ascii="Times New Roman" w:hAnsi="Times New Roman" w:eastAsia="新宋体" w:cs="Times New Roman"/>
                <w:color w:val="000000" w:themeColor="text1"/>
                <w:szCs w:val="24"/>
                <w:highlight w:val="none"/>
              </w:rPr>
              <w:t>13</w:t>
            </w:r>
            <w:r>
              <w:rPr>
                <w:rFonts w:hint="eastAsia" w:ascii="Times New Roman" w:hAnsi="Times New Roman" w:eastAsia="新宋体" w:cs="Times New Roman"/>
                <w:color w:val="000000" w:themeColor="text1"/>
                <w:szCs w:val="24"/>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55" w:type="dxa"/>
        </w:trPr>
        <w:tc>
          <w:tcPr>
            <w:tcW w:w="743" w:type="dxa"/>
            <w:vMerge w:val="continue"/>
            <w:tcBorders>
              <w:bottom w:val="single" w:color="auto" w:sz="4" w:space="0"/>
              <w:right w:val="single" w:color="auto" w:sz="4" w:space="0"/>
            </w:tcBorders>
            <w:vAlign w:val="center"/>
          </w:tcPr>
          <w:p>
            <w:pPr>
              <w:spacing w:line="440" w:lineRule="exact"/>
              <w:jc w:val="center"/>
              <w:rPr>
                <w:rFonts w:ascii="Times New Roman" w:hAnsi="Times New Roman" w:eastAsia="宋体" w:cs="Times New Roman"/>
                <w:color w:val="000000" w:themeColor="text1"/>
                <w:szCs w:val="21"/>
                <w:highlight w:val="none"/>
              </w:rPr>
            </w:pPr>
          </w:p>
        </w:tc>
        <w:tc>
          <w:tcPr>
            <w:tcW w:w="1334" w:type="dxa"/>
            <w:vMerge w:val="continue"/>
            <w:tcBorders>
              <w:bottom w:val="single" w:color="auto" w:sz="4" w:space="0"/>
              <w:right w:val="single" w:color="auto" w:sz="4" w:space="0"/>
            </w:tcBorders>
            <w:vAlign w:val="center"/>
          </w:tcPr>
          <w:p>
            <w:pPr>
              <w:spacing w:line="440" w:lineRule="exact"/>
              <w:jc w:val="center"/>
              <w:rPr>
                <w:rFonts w:ascii="Times New Roman" w:hAnsi="Times New Roman" w:eastAsia="宋体" w:cs="Times New Roman"/>
                <w:color w:val="000000" w:themeColor="text1"/>
                <w:szCs w:val="21"/>
                <w:highlight w:val="none"/>
              </w:rPr>
            </w:pPr>
          </w:p>
        </w:tc>
        <w:tc>
          <w:tcPr>
            <w:tcW w:w="2389"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新宋体" w:cs="Times New Roman"/>
                <w:color w:val="000000" w:themeColor="text1"/>
                <w:szCs w:val="24"/>
                <w:highlight w:val="none"/>
              </w:rPr>
            </w:pPr>
            <w:r>
              <w:rPr>
                <w:rFonts w:hint="eastAsia" w:ascii="Times New Roman" w:hAnsi="Times New Roman" w:eastAsia="新宋体" w:cs="Times New Roman"/>
                <w:color w:val="000000" w:themeColor="text1"/>
                <w:szCs w:val="24"/>
                <w:highlight w:val="none"/>
              </w:rPr>
              <w:t>实质性要求</w:t>
            </w:r>
          </w:p>
        </w:tc>
        <w:tc>
          <w:tcPr>
            <w:tcW w:w="5316"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新宋体" w:cs="Times New Roman"/>
                <w:color w:val="000000" w:themeColor="text1"/>
                <w:szCs w:val="24"/>
                <w:highlight w:val="none"/>
              </w:rPr>
            </w:pPr>
            <w:r>
              <w:rPr>
                <w:rFonts w:hint="eastAsia" w:ascii="Times New Roman" w:hAnsi="Times New Roman" w:eastAsia="新宋体" w:cs="Times New Roman"/>
                <w:color w:val="000000" w:themeColor="text1"/>
                <w:szCs w:val="24"/>
                <w:highlight w:val="none"/>
              </w:rPr>
              <w:t>符合招标文件规定的其他实质性要求。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55" w:type="dxa"/>
          <w:trHeight w:val="788" w:hRule="atLeast"/>
        </w:trPr>
        <w:tc>
          <w:tcPr>
            <w:tcW w:w="743" w:type="dxa"/>
            <w:tcBorders>
              <w:bottom w:val="single" w:color="auto" w:sz="4" w:space="0"/>
              <w:right w:val="single" w:color="auto" w:sz="4" w:space="0"/>
            </w:tcBorders>
            <w:vAlign w:val="center"/>
          </w:tcPr>
          <w:p>
            <w:pPr>
              <w:spacing w:line="440" w:lineRule="exact"/>
              <w:jc w:val="cente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2.2.1</w:t>
            </w:r>
          </w:p>
        </w:tc>
        <w:tc>
          <w:tcPr>
            <w:tcW w:w="1334" w:type="dxa"/>
            <w:tcBorders>
              <w:bottom w:val="single" w:color="auto" w:sz="4" w:space="0"/>
              <w:right w:val="single" w:color="auto" w:sz="4" w:space="0"/>
            </w:tcBorders>
            <w:vAlign w:val="center"/>
          </w:tcPr>
          <w:p>
            <w:pPr>
              <w:adjustRightInd w:val="0"/>
              <w:snapToGrid w:val="0"/>
              <w:spacing w:line="320" w:lineRule="atLeast"/>
              <w:rPr>
                <w:rFonts w:ascii="Arial" w:hAnsi="Arial" w:eastAsia="宋体" w:cs="Arial"/>
                <w:color w:val="000000" w:themeColor="text1"/>
                <w:highlight w:val="none"/>
              </w:rPr>
            </w:pPr>
            <w:r>
              <w:rPr>
                <w:rFonts w:ascii="Arial" w:hAnsi="Arial" w:eastAsia="宋体" w:cs="Arial"/>
                <w:color w:val="000000" w:themeColor="text1"/>
                <w:highlight w:val="none"/>
              </w:rPr>
              <w:t>分值构成</w:t>
            </w:r>
            <w:r>
              <w:rPr>
                <w:rFonts w:hint="eastAsia" w:ascii="Arial" w:hAnsi="Arial" w:eastAsia="宋体" w:cs="Arial"/>
                <w:color w:val="000000" w:themeColor="text1"/>
                <w:highlight w:val="none"/>
              </w:rPr>
              <w:t>(100分)</w:t>
            </w:r>
          </w:p>
        </w:tc>
        <w:tc>
          <w:tcPr>
            <w:tcW w:w="7705" w:type="dxa"/>
            <w:gridSpan w:val="5"/>
            <w:tcBorders>
              <w:top w:val="single" w:color="auto" w:sz="4" w:space="0"/>
              <w:left w:val="single" w:color="auto" w:sz="4" w:space="0"/>
              <w:bottom w:val="single" w:color="auto" w:sz="4" w:space="0"/>
              <w:right w:val="single" w:color="auto" w:sz="4" w:space="0"/>
            </w:tcBorders>
            <w:vAlign w:val="center"/>
          </w:tcPr>
          <w:p>
            <w:pPr>
              <w:spacing w:line="440" w:lineRule="exact"/>
              <w:jc w:val="left"/>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报价部分（65分）</w:t>
            </w:r>
          </w:p>
          <w:p>
            <w:pPr>
              <w:spacing w:line="440" w:lineRule="exact"/>
              <w:jc w:val="left"/>
              <w:rPr>
                <w:rFonts w:ascii="宋体" w:hAnsi="宋体" w:eastAsia="宋体" w:cs="宋体"/>
                <w:color w:val="000000" w:themeColor="text1"/>
                <w:kern w:val="0"/>
                <w:sz w:val="20"/>
                <w:szCs w:val="20"/>
                <w:highlight w:val="none"/>
              </w:rPr>
            </w:pPr>
            <w:r>
              <w:rPr>
                <w:rFonts w:hint="eastAsia" w:ascii="宋体" w:hAnsi="宋体" w:eastAsia="宋体" w:cs="宋体"/>
                <w:color w:val="000000" w:themeColor="text1"/>
                <w:kern w:val="0"/>
                <w:sz w:val="20"/>
                <w:szCs w:val="20"/>
                <w:highlight w:val="none"/>
              </w:rPr>
              <w:t>商务</w:t>
            </w:r>
            <w:r>
              <w:rPr>
                <w:rFonts w:hint="eastAsia" w:ascii="Times New Roman" w:hAnsi="Times New Roman" w:eastAsia="宋体" w:cs="Times New Roman"/>
                <w:color w:val="000000" w:themeColor="text1"/>
                <w:szCs w:val="21"/>
                <w:highlight w:val="none"/>
              </w:rPr>
              <w:t>部分</w:t>
            </w:r>
            <w:r>
              <w:rPr>
                <w:rFonts w:hint="eastAsia" w:ascii="宋体" w:hAnsi="宋体" w:eastAsia="宋体" w:cs="宋体"/>
                <w:color w:val="000000" w:themeColor="text1"/>
                <w:kern w:val="0"/>
                <w:sz w:val="20"/>
                <w:szCs w:val="20"/>
                <w:highlight w:val="none"/>
              </w:rPr>
              <w:t>（24分）</w:t>
            </w:r>
          </w:p>
          <w:p>
            <w:pPr>
              <w:spacing w:line="440" w:lineRule="exact"/>
              <w:jc w:val="left"/>
              <w:rPr>
                <w:rFonts w:ascii="宋体" w:hAnsi="宋体" w:eastAsia="宋体" w:cs="宋体"/>
                <w:color w:val="000000" w:themeColor="text1"/>
                <w:kern w:val="0"/>
                <w:sz w:val="20"/>
                <w:szCs w:val="20"/>
                <w:highlight w:val="none"/>
              </w:rPr>
            </w:pPr>
            <w:r>
              <w:rPr>
                <w:rFonts w:hint="eastAsia" w:ascii="宋体" w:hAnsi="宋体" w:eastAsia="宋体" w:cs="宋体"/>
                <w:color w:val="000000" w:themeColor="text1"/>
                <w:kern w:val="0"/>
                <w:sz w:val="20"/>
                <w:szCs w:val="20"/>
                <w:highlight w:val="none"/>
              </w:rPr>
              <w:t>技术部分（11分）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55" w:type="dxa"/>
          <w:trHeight w:val="1548" w:hRule="atLeast"/>
        </w:trPr>
        <w:tc>
          <w:tcPr>
            <w:tcW w:w="743" w:type="dxa"/>
            <w:vMerge w:val="restart"/>
            <w:tcBorders>
              <w:right w:val="single" w:color="auto" w:sz="4" w:space="0"/>
            </w:tcBorders>
            <w:vAlign w:val="center"/>
          </w:tcPr>
          <w:p>
            <w:pPr>
              <w:spacing w:line="440" w:lineRule="exact"/>
              <w:jc w:val="cente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2.2.2</w:t>
            </w:r>
          </w:p>
        </w:tc>
        <w:tc>
          <w:tcPr>
            <w:tcW w:w="1334" w:type="dxa"/>
            <w:vMerge w:val="restart"/>
            <w:tcBorders>
              <w:right w:val="single" w:color="auto" w:sz="4" w:space="0"/>
            </w:tcBorders>
            <w:vAlign w:val="center"/>
          </w:tcPr>
          <w:p>
            <w:pPr>
              <w:adjustRightInd w:val="0"/>
              <w:snapToGrid w:val="0"/>
              <w:spacing w:line="500" w:lineRule="atLeast"/>
              <w:jc w:val="center"/>
              <w:rPr>
                <w:rFonts w:ascii="Arial" w:hAnsi="Arial" w:eastAsia="宋体" w:cs="Arial"/>
                <w:color w:val="000000" w:themeColor="text1"/>
                <w:highlight w:val="none"/>
              </w:rPr>
            </w:pPr>
            <w:r>
              <w:rPr>
                <w:rFonts w:hint="eastAsia" w:ascii="Arial" w:hAnsi="Arial" w:eastAsia="宋体" w:cs="Arial"/>
                <w:color w:val="000000" w:themeColor="text1"/>
                <w:highlight w:val="none"/>
              </w:rPr>
              <w:t>评分标准</w:t>
            </w:r>
          </w:p>
        </w:tc>
        <w:tc>
          <w:tcPr>
            <w:tcW w:w="1059" w:type="dxa"/>
            <w:tcBorders>
              <w:top w:val="single" w:color="auto" w:sz="4" w:space="0"/>
              <w:left w:val="single" w:color="auto" w:sz="4" w:space="0"/>
              <w:right w:val="single" w:color="auto" w:sz="4" w:space="0"/>
            </w:tcBorders>
            <w:vAlign w:val="center"/>
          </w:tcPr>
          <w:p>
            <w:pPr>
              <w:jc w:val="center"/>
              <w:rPr>
                <w:rFonts w:ascii="Times New Roman" w:hAnsi="Times New Roman" w:eastAsia="新宋体" w:cs="Times New Roman"/>
                <w:color w:val="000000" w:themeColor="text1"/>
                <w:szCs w:val="24"/>
                <w:highlight w:val="none"/>
              </w:rPr>
            </w:pPr>
            <w:r>
              <w:rPr>
                <w:rFonts w:hint="eastAsia" w:ascii="Times New Roman" w:hAnsi="Times New Roman" w:eastAsia="新宋体" w:cs="Times New Roman"/>
                <w:color w:val="000000" w:themeColor="text1"/>
                <w:szCs w:val="24"/>
                <w:highlight w:val="none"/>
              </w:rPr>
              <w:t>报价部分（65分）</w:t>
            </w:r>
          </w:p>
          <w:p>
            <w:pPr>
              <w:widowControl/>
              <w:ind w:firstLine="420" w:firstLineChars="200"/>
              <w:rPr>
                <w:rFonts w:ascii="宋体" w:hAnsi="宋体" w:eastAsia="宋体" w:cs="Times New Roman"/>
                <w:color w:val="000000" w:themeColor="text1"/>
                <w:szCs w:val="24"/>
                <w:highlight w:val="none"/>
              </w:rPr>
            </w:pPr>
          </w:p>
        </w:tc>
        <w:tc>
          <w:tcPr>
            <w:tcW w:w="6646" w:type="dxa"/>
            <w:gridSpan w:val="4"/>
            <w:tcBorders>
              <w:top w:val="single" w:color="auto" w:sz="4" w:space="0"/>
              <w:left w:val="single" w:color="auto" w:sz="4" w:space="0"/>
              <w:bottom w:val="nil"/>
              <w:right w:val="single" w:color="auto" w:sz="4" w:space="0"/>
            </w:tcBorders>
            <w:vAlign w:val="center"/>
          </w:tcPr>
          <w:p>
            <w:pPr>
              <w:widowControl/>
              <w:ind w:firstLine="420" w:firstLineChars="200"/>
              <w:rPr>
                <w:rFonts w:ascii="宋体" w:hAnsi="宋体" w:eastAsia="宋体" w:cs="Times New Roman"/>
                <w:color w:val="000000" w:themeColor="text1"/>
                <w:szCs w:val="24"/>
                <w:highlight w:val="none"/>
              </w:rPr>
            </w:pPr>
            <w:r>
              <w:rPr>
                <w:rFonts w:hint="eastAsia" w:ascii="宋体" w:hAnsi="宋体" w:eastAsia="宋体" w:cs="Times New Roman"/>
                <w:color w:val="000000" w:themeColor="text1"/>
                <w:szCs w:val="24"/>
                <w:highlight w:val="none"/>
              </w:rPr>
              <w:t>1、确定评标基准价</w:t>
            </w:r>
          </w:p>
          <w:p>
            <w:pPr>
              <w:widowControl/>
              <w:ind w:firstLine="420" w:firstLineChars="200"/>
              <w:rPr>
                <w:rFonts w:ascii="宋体" w:hAnsi="宋体" w:eastAsia="宋体" w:cs="Times New Roman"/>
                <w:color w:val="000000" w:themeColor="text1"/>
                <w:szCs w:val="24"/>
                <w:highlight w:val="none"/>
              </w:rPr>
            </w:pPr>
            <w:r>
              <w:rPr>
                <w:rFonts w:hint="eastAsia" w:ascii="宋体" w:hAnsi="宋体" w:eastAsia="宋体" w:cs="Times New Roman"/>
                <w:color w:val="000000" w:themeColor="text1"/>
                <w:szCs w:val="24"/>
                <w:highlight w:val="none"/>
              </w:rPr>
              <w:t>所有初步评审合格的投标人（招标人设有最高限价的，则高于最高限价的除外）的投标总报价中去掉六分之一（不能整除的按小数点前整数取整，不足六家报价则不去掉）的最低价和相同家数的最高价后的算术平均值下浮2%作为评标基准价。。</w:t>
            </w:r>
          </w:p>
          <w:p>
            <w:pPr>
              <w:widowControl/>
              <w:ind w:firstLine="420" w:firstLineChars="200"/>
              <w:rPr>
                <w:rFonts w:ascii="宋体" w:hAnsi="宋体" w:eastAsia="宋体" w:cs="Times New Roman"/>
                <w:color w:val="000000" w:themeColor="text1"/>
                <w:szCs w:val="24"/>
                <w:highlight w:val="none"/>
              </w:rPr>
            </w:pPr>
            <w:r>
              <w:rPr>
                <w:rFonts w:hint="eastAsia" w:ascii="宋体" w:hAnsi="宋体" w:eastAsia="宋体" w:cs="Times New Roman"/>
                <w:color w:val="000000" w:themeColor="text1"/>
                <w:szCs w:val="24"/>
                <w:highlight w:val="none"/>
              </w:rPr>
              <w:t>以上计算取小数点后两位，第三位四舍五入，在评标基准价计算完成后（除算术性错误修正外），在后续的评审中不得再对其做出调整。</w:t>
            </w:r>
          </w:p>
          <w:p>
            <w:pPr>
              <w:widowControl/>
              <w:ind w:firstLine="420" w:firstLineChars="200"/>
              <w:rPr>
                <w:rFonts w:ascii="宋体" w:hAnsi="宋体" w:eastAsia="宋体" w:cs="Times New Roman"/>
                <w:color w:val="000000" w:themeColor="text1"/>
                <w:szCs w:val="24"/>
                <w:highlight w:val="none"/>
              </w:rPr>
            </w:pPr>
            <w:r>
              <w:rPr>
                <w:rFonts w:hint="eastAsia" w:ascii="宋体" w:hAnsi="宋体" w:eastAsia="宋体" w:cs="Times New Roman"/>
                <w:color w:val="000000" w:themeColor="text1"/>
                <w:szCs w:val="24"/>
                <w:highlight w:val="none"/>
              </w:rPr>
              <w:t>2、分值计算</w:t>
            </w:r>
          </w:p>
          <w:p>
            <w:pPr>
              <w:widowControl/>
              <w:ind w:firstLine="420" w:firstLineChars="200"/>
              <w:rPr>
                <w:rFonts w:ascii="宋体" w:hAnsi="宋体" w:eastAsia="宋体" w:cs="Times New Roman"/>
                <w:color w:val="000000" w:themeColor="text1"/>
                <w:szCs w:val="24"/>
                <w:highlight w:val="none"/>
              </w:rPr>
            </w:pPr>
            <w:r>
              <w:rPr>
                <w:rFonts w:hint="eastAsia" w:ascii="宋体" w:hAnsi="宋体" w:eastAsia="宋体" w:cs="Times New Roman"/>
                <w:color w:val="000000" w:themeColor="text1"/>
                <w:szCs w:val="24"/>
                <w:highlight w:val="none"/>
              </w:rPr>
              <w:t>各有效投标总报价等于评标基准价的，得满分65分；其余有效投标总报价和评标基准价相比，每增加1%扣1分，每减少1%扣0.5分，扣完为止，按插值法计算。未参与评标基准价计算的有效投标总报价，仍应参加计算相应分值。</w:t>
            </w:r>
          </w:p>
          <w:p>
            <w:pPr>
              <w:widowControl/>
              <w:ind w:firstLine="420" w:firstLineChars="200"/>
              <w:rPr>
                <w:rFonts w:ascii="宋体" w:hAnsi="宋体" w:eastAsia="宋体" w:cs="Times New Roman"/>
                <w:color w:val="000000" w:themeColor="text1"/>
                <w:szCs w:val="24"/>
                <w:highlight w:val="none"/>
              </w:rPr>
            </w:pPr>
            <w:r>
              <w:rPr>
                <w:rFonts w:hint="eastAsia" w:ascii="宋体" w:hAnsi="宋体" w:eastAsia="宋体" w:cs="Times New Roman"/>
                <w:color w:val="000000" w:themeColor="text1"/>
                <w:szCs w:val="24"/>
                <w:highlight w:val="none"/>
              </w:rPr>
              <w:t>3、以上计算保留小数点后两位，第三位四舍五入。</w:t>
            </w:r>
          </w:p>
          <w:p>
            <w:pPr>
              <w:widowControl/>
              <w:ind w:firstLine="420" w:firstLineChars="200"/>
              <w:rPr>
                <w:rFonts w:ascii="宋体" w:hAnsi="宋体" w:eastAsia="宋体" w:cs="Times New Roman"/>
                <w:color w:val="000000" w:themeColor="text1"/>
                <w:szCs w:val="24"/>
                <w:highlight w:val="none"/>
              </w:rPr>
            </w:pPr>
            <w:r>
              <w:rPr>
                <w:rFonts w:hint="eastAsia" w:ascii="宋体" w:hAnsi="宋体" w:eastAsia="宋体" w:cs="Times New Roman"/>
                <w:color w:val="000000" w:themeColor="text1"/>
                <w:szCs w:val="24"/>
                <w:highlight w:val="none"/>
              </w:rPr>
              <w:t>注：评标委员会认为投标人的报价明显低于其他通过符合性审查投标人的报价，有可能影响产品质量或者不能诚信履约的，有权要求该投标人在评标现场合理时间内提供书面说明，必要时提交相关证明材料。投标人拒绝书面说明或不能证明其报价合理性的，评标委员会有权将其作为无效投标处理，其报价不能参与评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55" w:type="dxa"/>
          <w:trHeight w:val="416" w:hRule="atLeast"/>
        </w:trPr>
        <w:tc>
          <w:tcPr>
            <w:tcW w:w="743" w:type="dxa"/>
            <w:vMerge w:val="continue"/>
            <w:tcBorders>
              <w:right w:val="single" w:color="auto" w:sz="4" w:space="0"/>
            </w:tcBorders>
            <w:vAlign w:val="center"/>
          </w:tcPr>
          <w:p>
            <w:pPr>
              <w:spacing w:line="440" w:lineRule="exact"/>
              <w:jc w:val="center"/>
              <w:rPr>
                <w:rFonts w:ascii="Times New Roman" w:hAnsi="Times New Roman" w:eastAsia="宋体" w:cs="Times New Roman"/>
                <w:color w:val="000000" w:themeColor="text1"/>
                <w:szCs w:val="21"/>
                <w:highlight w:val="none"/>
              </w:rPr>
            </w:pPr>
          </w:p>
        </w:tc>
        <w:tc>
          <w:tcPr>
            <w:tcW w:w="1334" w:type="dxa"/>
            <w:vMerge w:val="continue"/>
            <w:tcBorders>
              <w:right w:val="single" w:color="auto" w:sz="4" w:space="0"/>
            </w:tcBorders>
            <w:vAlign w:val="center"/>
          </w:tcPr>
          <w:p>
            <w:pPr>
              <w:adjustRightInd w:val="0"/>
              <w:snapToGrid w:val="0"/>
              <w:spacing w:line="500" w:lineRule="atLeast"/>
              <w:jc w:val="center"/>
              <w:rPr>
                <w:rFonts w:ascii="Arial" w:hAnsi="Arial" w:eastAsia="宋体" w:cs="Arial"/>
                <w:color w:val="000000" w:themeColor="text1"/>
                <w:highlight w:val="none"/>
              </w:rPr>
            </w:pPr>
          </w:p>
        </w:tc>
        <w:tc>
          <w:tcPr>
            <w:tcW w:w="1059" w:type="dxa"/>
            <w:vMerge w:val="restart"/>
            <w:tcBorders>
              <w:top w:val="single" w:color="auto" w:sz="4" w:space="0"/>
              <w:left w:val="single" w:color="auto" w:sz="4" w:space="0"/>
              <w:right w:val="single" w:color="auto" w:sz="4" w:space="0"/>
            </w:tcBorders>
            <w:vAlign w:val="center"/>
          </w:tcPr>
          <w:p>
            <w:pPr>
              <w:widowControl/>
              <w:rPr>
                <w:rFonts w:ascii="宋体" w:hAnsi="宋体" w:eastAsia="宋体" w:cs="Times New Roman"/>
                <w:color w:val="000000" w:themeColor="text1"/>
                <w:szCs w:val="24"/>
                <w:highlight w:val="none"/>
              </w:rPr>
            </w:pPr>
            <w:r>
              <w:rPr>
                <w:rFonts w:hint="eastAsia" w:ascii="宋体" w:hAnsi="宋体" w:eastAsia="宋体" w:cs="Times New Roman"/>
                <w:color w:val="000000" w:themeColor="text1"/>
                <w:szCs w:val="24"/>
                <w:highlight w:val="none"/>
              </w:rPr>
              <w:t>商务部分24分</w:t>
            </w:r>
          </w:p>
        </w:tc>
        <w:tc>
          <w:tcPr>
            <w:tcW w:w="1309" w:type="dxa"/>
            <w:gridSpan w:val="2"/>
            <w:tcBorders>
              <w:top w:val="single" w:color="auto" w:sz="4" w:space="0"/>
              <w:left w:val="single" w:color="auto" w:sz="4" w:space="0"/>
              <w:bottom w:val="nil"/>
              <w:right w:val="single" w:color="auto" w:sz="4" w:space="0"/>
            </w:tcBorders>
            <w:vAlign w:val="center"/>
          </w:tcPr>
          <w:p>
            <w:pPr>
              <w:widowControl/>
              <w:rPr>
                <w:rFonts w:ascii="宋体" w:hAnsi="宋体" w:eastAsia="宋体" w:cs="Times New Roman"/>
                <w:color w:val="000000" w:themeColor="text1"/>
                <w:szCs w:val="24"/>
                <w:highlight w:val="none"/>
              </w:rPr>
            </w:pPr>
            <w:r>
              <w:rPr>
                <w:rFonts w:hint="eastAsia" w:ascii="宋体" w:hAnsi="宋体" w:eastAsia="宋体" w:cs="Times New Roman"/>
                <w:color w:val="000000" w:themeColor="text1"/>
                <w:szCs w:val="24"/>
                <w:highlight w:val="none"/>
              </w:rPr>
              <w:t>是否具有灾备中心2分</w:t>
            </w:r>
          </w:p>
        </w:tc>
        <w:tc>
          <w:tcPr>
            <w:tcW w:w="5337" w:type="dxa"/>
            <w:gridSpan w:val="2"/>
            <w:tcBorders>
              <w:top w:val="single" w:color="auto" w:sz="4" w:space="0"/>
              <w:left w:val="single" w:color="auto" w:sz="4" w:space="0"/>
              <w:bottom w:val="nil"/>
              <w:right w:val="single" w:color="auto" w:sz="4" w:space="0"/>
            </w:tcBorders>
            <w:vAlign w:val="center"/>
          </w:tcPr>
          <w:p>
            <w:pPr>
              <w:widowControl/>
              <w:numPr>
                <w:ilvl w:val="255"/>
                <w:numId w:val="0"/>
              </w:numPr>
              <w:ind w:firstLine="420" w:firstLineChars="200"/>
              <w:rPr>
                <w:rFonts w:ascii="宋体" w:hAnsi="宋体" w:eastAsia="宋体" w:cs="Times New Roman"/>
                <w:color w:val="000000" w:themeColor="text1"/>
                <w:szCs w:val="24"/>
                <w:highlight w:val="none"/>
              </w:rPr>
            </w:pPr>
            <w:r>
              <w:rPr>
                <w:rFonts w:hint="eastAsia" w:ascii="宋体" w:hAnsi="宋体" w:eastAsia="宋体" w:cs="Times New Roman"/>
                <w:color w:val="000000" w:themeColor="text1"/>
                <w:szCs w:val="24"/>
                <w:highlight w:val="none"/>
              </w:rPr>
              <w:t>1、在国内设有2个（含）以上数量银行卡个人化中心得2分。提供有效期内的《银联标识产品企业资质认证证书》复印件并加盖投标人公章；其中通过认证的种类必须包含“IC卡个人化”。</w:t>
            </w:r>
          </w:p>
          <w:p>
            <w:pPr>
              <w:widowControl/>
              <w:ind w:firstLine="420" w:firstLineChars="200"/>
              <w:rPr>
                <w:rFonts w:ascii="宋体" w:hAnsi="宋体" w:eastAsia="宋体" w:cs="Times New Roman"/>
                <w:color w:val="000000" w:themeColor="text1"/>
                <w:szCs w:val="24"/>
                <w:highlight w:val="none"/>
              </w:rPr>
            </w:pPr>
            <w:r>
              <w:rPr>
                <w:rFonts w:hint="eastAsia" w:ascii="宋体" w:hAnsi="宋体" w:eastAsia="宋体" w:cs="Times New Roman"/>
                <w:color w:val="000000" w:themeColor="text1"/>
                <w:szCs w:val="24"/>
                <w:highlight w:val="none"/>
              </w:rPr>
              <w:t>2、在国内仅有1个银行卡个人化中心，且同时与其他卡厂互为灾备应急中心的，得1分。提供有效期内的《银联标识产品企业资质认证证书》复印件（其中通过认证的种类必须包含“IC卡个人化”）及互为灾备的协议复印件，以上复印件加盖投标人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55" w:type="dxa"/>
          <w:trHeight w:val="416" w:hRule="atLeast"/>
        </w:trPr>
        <w:tc>
          <w:tcPr>
            <w:tcW w:w="743" w:type="dxa"/>
            <w:vMerge w:val="continue"/>
            <w:tcBorders>
              <w:right w:val="single" w:color="auto" w:sz="4" w:space="0"/>
            </w:tcBorders>
            <w:vAlign w:val="center"/>
          </w:tcPr>
          <w:p>
            <w:pPr>
              <w:widowControl/>
              <w:ind w:firstLine="420" w:firstLineChars="200"/>
              <w:rPr>
                <w:rFonts w:ascii="宋体" w:hAnsi="宋体" w:eastAsia="宋体" w:cs="Times New Roman"/>
                <w:color w:val="000000" w:themeColor="text1"/>
                <w:szCs w:val="24"/>
                <w:highlight w:val="none"/>
              </w:rPr>
            </w:pPr>
          </w:p>
        </w:tc>
        <w:tc>
          <w:tcPr>
            <w:tcW w:w="1334" w:type="dxa"/>
            <w:vMerge w:val="continue"/>
            <w:tcBorders>
              <w:right w:val="single" w:color="auto" w:sz="4" w:space="0"/>
            </w:tcBorders>
            <w:vAlign w:val="center"/>
          </w:tcPr>
          <w:p>
            <w:pPr>
              <w:widowControl/>
              <w:ind w:firstLine="420" w:firstLineChars="200"/>
              <w:rPr>
                <w:rFonts w:ascii="宋体" w:hAnsi="宋体" w:eastAsia="宋体" w:cs="Times New Roman"/>
                <w:color w:val="000000" w:themeColor="text1"/>
                <w:szCs w:val="24"/>
                <w:highlight w:val="none"/>
              </w:rPr>
            </w:pPr>
          </w:p>
        </w:tc>
        <w:tc>
          <w:tcPr>
            <w:tcW w:w="1059" w:type="dxa"/>
            <w:vMerge w:val="continue"/>
            <w:tcBorders>
              <w:left w:val="single" w:color="auto" w:sz="4" w:space="0"/>
              <w:right w:val="single" w:color="auto" w:sz="4" w:space="0"/>
            </w:tcBorders>
            <w:vAlign w:val="center"/>
          </w:tcPr>
          <w:p>
            <w:pPr>
              <w:widowControl/>
              <w:ind w:firstLine="420" w:firstLineChars="200"/>
              <w:rPr>
                <w:rFonts w:ascii="宋体" w:hAnsi="宋体" w:eastAsia="宋体" w:cs="Times New Roman"/>
                <w:color w:val="000000" w:themeColor="text1"/>
                <w:szCs w:val="24"/>
                <w:highlight w:val="none"/>
              </w:rPr>
            </w:pPr>
          </w:p>
        </w:tc>
        <w:tc>
          <w:tcPr>
            <w:tcW w:w="678" w:type="dxa"/>
            <w:vMerge w:val="restart"/>
            <w:tcBorders>
              <w:top w:val="single" w:color="auto" w:sz="4" w:space="0"/>
              <w:left w:val="single" w:color="auto" w:sz="4" w:space="0"/>
              <w:right w:val="single" w:color="auto" w:sz="4" w:space="0"/>
            </w:tcBorders>
            <w:vAlign w:val="center"/>
          </w:tcPr>
          <w:p>
            <w:pPr>
              <w:widowControl/>
              <w:rPr>
                <w:rFonts w:ascii="宋体" w:hAnsi="宋体" w:eastAsia="宋体" w:cs="Times New Roman"/>
                <w:color w:val="000000" w:themeColor="text1"/>
                <w:szCs w:val="24"/>
                <w:highlight w:val="none"/>
              </w:rPr>
            </w:pPr>
            <w:r>
              <w:rPr>
                <w:rFonts w:hint="eastAsia" w:ascii="宋体" w:hAnsi="宋体" w:eastAsia="宋体" w:cs="Times New Roman"/>
                <w:color w:val="000000" w:themeColor="text1"/>
                <w:szCs w:val="24"/>
                <w:highlight w:val="none"/>
              </w:rPr>
              <w:t>其他</w:t>
            </w:r>
          </w:p>
          <w:p>
            <w:pPr>
              <w:widowControl/>
              <w:rPr>
                <w:rFonts w:ascii="宋体" w:hAnsi="宋体" w:eastAsia="宋体" w:cs="Times New Roman"/>
                <w:color w:val="000000" w:themeColor="text1"/>
                <w:szCs w:val="24"/>
                <w:highlight w:val="none"/>
              </w:rPr>
            </w:pPr>
            <w:r>
              <w:rPr>
                <w:rFonts w:hint="eastAsia" w:ascii="宋体" w:hAnsi="宋体" w:eastAsia="宋体" w:cs="Times New Roman"/>
                <w:color w:val="000000" w:themeColor="text1"/>
                <w:szCs w:val="24"/>
                <w:highlight w:val="none"/>
              </w:rPr>
              <w:t>资质</w:t>
            </w:r>
          </w:p>
        </w:tc>
        <w:tc>
          <w:tcPr>
            <w:tcW w:w="631" w:type="dxa"/>
            <w:tcBorders>
              <w:top w:val="single" w:color="auto" w:sz="4" w:space="0"/>
              <w:left w:val="single" w:color="auto" w:sz="4" w:space="0"/>
              <w:bottom w:val="nil"/>
              <w:right w:val="single" w:color="auto" w:sz="4" w:space="0"/>
            </w:tcBorders>
            <w:vAlign w:val="center"/>
          </w:tcPr>
          <w:p>
            <w:pPr>
              <w:widowControl/>
              <w:rPr>
                <w:rFonts w:ascii="宋体" w:hAnsi="宋体" w:eastAsia="宋体" w:cs="Times New Roman"/>
                <w:color w:val="000000" w:themeColor="text1"/>
                <w:szCs w:val="24"/>
                <w:highlight w:val="none"/>
              </w:rPr>
            </w:pPr>
            <w:r>
              <w:rPr>
                <w:rFonts w:hint="eastAsia" w:ascii="宋体" w:hAnsi="宋体" w:eastAsia="宋体" w:cs="Times New Roman"/>
                <w:color w:val="000000" w:themeColor="text1"/>
                <w:szCs w:val="24"/>
                <w:highlight w:val="none"/>
              </w:rPr>
              <w:t>2分</w:t>
            </w:r>
          </w:p>
        </w:tc>
        <w:tc>
          <w:tcPr>
            <w:tcW w:w="5337" w:type="dxa"/>
            <w:gridSpan w:val="2"/>
            <w:tcBorders>
              <w:top w:val="single" w:color="auto" w:sz="4" w:space="0"/>
              <w:left w:val="single" w:color="auto" w:sz="4" w:space="0"/>
              <w:bottom w:val="nil"/>
              <w:right w:val="single" w:color="auto" w:sz="4" w:space="0"/>
            </w:tcBorders>
            <w:vAlign w:val="center"/>
          </w:tcPr>
          <w:p>
            <w:pPr>
              <w:widowControl/>
              <w:ind w:firstLine="420" w:firstLineChars="200"/>
              <w:rPr>
                <w:rFonts w:ascii="宋体" w:hAnsi="宋体" w:eastAsia="宋体" w:cs="Times New Roman"/>
                <w:color w:val="000000" w:themeColor="text1"/>
                <w:szCs w:val="24"/>
                <w:highlight w:val="none"/>
              </w:rPr>
            </w:pPr>
            <w:r>
              <w:rPr>
                <w:rFonts w:hint="eastAsia" w:ascii="宋体" w:hAnsi="宋体" w:eastAsia="宋体" w:cs="Times New Roman"/>
                <w:color w:val="000000" w:themeColor="text1"/>
                <w:szCs w:val="24"/>
                <w:highlight w:val="none"/>
              </w:rPr>
              <w:t>具有有效期内银联卡产品质量管理体系认证证书，得2分。（提供证书复印件加盖投标人公章）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55" w:type="dxa"/>
          <w:trHeight w:val="416" w:hRule="atLeast"/>
        </w:trPr>
        <w:tc>
          <w:tcPr>
            <w:tcW w:w="743" w:type="dxa"/>
            <w:tcBorders>
              <w:right w:val="single" w:color="auto" w:sz="4" w:space="0"/>
            </w:tcBorders>
            <w:vAlign w:val="center"/>
          </w:tcPr>
          <w:p>
            <w:pPr>
              <w:widowControl/>
              <w:ind w:firstLine="420" w:firstLineChars="200"/>
              <w:rPr>
                <w:rFonts w:ascii="宋体" w:hAnsi="宋体" w:eastAsia="宋体" w:cs="Times New Roman"/>
                <w:color w:val="000000" w:themeColor="text1"/>
                <w:szCs w:val="24"/>
                <w:highlight w:val="none"/>
              </w:rPr>
            </w:pPr>
          </w:p>
        </w:tc>
        <w:tc>
          <w:tcPr>
            <w:tcW w:w="1334" w:type="dxa"/>
            <w:tcBorders>
              <w:right w:val="single" w:color="auto" w:sz="4" w:space="0"/>
            </w:tcBorders>
            <w:vAlign w:val="center"/>
          </w:tcPr>
          <w:p>
            <w:pPr>
              <w:widowControl/>
              <w:ind w:firstLine="420" w:firstLineChars="200"/>
              <w:rPr>
                <w:rFonts w:ascii="宋体" w:hAnsi="宋体" w:eastAsia="宋体" w:cs="Times New Roman"/>
                <w:color w:val="000000" w:themeColor="text1"/>
                <w:szCs w:val="24"/>
                <w:highlight w:val="none"/>
              </w:rPr>
            </w:pPr>
          </w:p>
        </w:tc>
        <w:tc>
          <w:tcPr>
            <w:tcW w:w="1059" w:type="dxa"/>
            <w:vMerge w:val="continue"/>
            <w:tcBorders>
              <w:left w:val="single" w:color="auto" w:sz="4" w:space="0"/>
              <w:right w:val="single" w:color="auto" w:sz="4" w:space="0"/>
            </w:tcBorders>
            <w:vAlign w:val="center"/>
          </w:tcPr>
          <w:p>
            <w:pPr>
              <w:widowControl/>
              <w:ind w:firstLine="420" w:firstLineChars="200"/>
              <w:rPr>
                <w:rFonts w:ascii="宋体" w:hAnsi="宋体" w:eastAsia="宋体" w:cs="Times New Roman"/>
                <w:color w:val="000000" w:themeColor="text1"/>
                <w:szCs w:val="24"/>
                <w:highlight w:val="none"/>
              </w:rPr>
            </w:pPr>
          </w:p>
        </w:tc>
        <w:tc>
          <w:tcPr>
            <w:tcW w:w="678" w:type="dxa"/>
            <w:vMerge w:val="continue"/>
            <w:tcBorders>
              <w:left w:val="single" w:color="auto" w:sz="4" w:space="0"/>
              <w:bottom w:val="nil"/>
              <w:right w:val="single" w:color="auto" w:sz="4" w:space="0"/>
            </w:tcBorders>
            <w:vAlign w:val="center"/>
          </w:tcPr>
          <w:p>
            <w:pPr>
              <w:widowControl/>
              <w:ind w:firstLine="420" w:firstLineChars="200"/>
              <w:rPr>
                <w:rFonts w:ascii="宋体" w:hAnsi="宋体" w:eastAsia="宋体" w:cs="Times New Roman"/>
                <w:color w:val="000000" w:themeColor="text1"/>
                <w:szCs w:val="24"/>
                <w:highlight w:val="none"/>
              </w:rPr>
            </w:pPr>
          </w:p>
        </w:tc>
        <w:tc>
          <w:tcPr>
            <w:tcW w:w="631" w:type="dxa"/>
            <w:tcBorders>
              <w:top w:val="single" w:color="auto" w:sz="4" w:space="0"/>
              <w:left w:val="single" w:color="auto" w:sz="4" w:space="0"/>
              <w:bottom w:val="nil"/>
              <w:right w:val="single" w:color="auto" w:sz="4" w:space="0"/>
            </w:tcBorders>
            <w:vAlign w:val="center"/>
          </w:tcPr>
          <w:p>
            <w:pPr>
              <w:widowControl/>
              <w:rPr>
                <w:rFonts w:ascii="宋体" w:hAnsi="宋体" w:eastAsia="宋体" w:cs="Times New Roman"/>
                <w:color w:val="000000" w:themeColor="text1"/>
                <w:szCs w:val="24"/>
                <w:highlight w:val="none"/>
              </w:rPr>
            </w:pPr>
            <w:r>
              <w:rPr>
                <w:rFonts w:hint="eastAsia" w:ascii="宋体" w:hAnsi="宋体" w:eastAsia="宋体" w:cs="Times New Roman"/>
                <w:color w:val="000000" w:themeColor="text1"/>
                <w:szCs w:val="24"/>
                <w:highlight w:val="none"/>
              </w:rPr>
              <w:t>2分</w:t>
            </w:r>
          </w:p>
        </w:tc>
        <w:tc>
          <w:tcPr>
            <w:tcW w:w="5337" w:type="dxa"/>
            <w:gridSpan w:val="2"/>
            <w:tcBorders>
              <w:top w:val="single" w:color="auto" w:sz="4" w:space="0"/>
              <w:left w:val="single" w:color="auto" w:sz="4" w:space="0"/>
              <w:bottom w:val="nil"/>
              <w:right w:val="single" w:color="auto" w:sz="4" w:space="0"/>
            </w:tcBorders>
            <w:vAlign w:val="center"/>
          </w:tcPr>
          <w:p>
            <w:pPr>
              <w:widowControl/>
              <w:ind w:firstLine="420" w:firstLineChars="200"/>
              <w:rPr>
                <w:rFonts w:ascii="宋体" w:hAnsi="宋体" w:eastAsia="宋体" w:cs="Times New Roman"/>
                <w:color w:val="000000" w:themeColor="text1"/>
                <w:szCs w:val="24"/>
                <w:highlight w:val="none"/>
              </w:rPr>
            </w:pPr>
            <w:r>
              <w:rPr>
                <w:rFonts w:hint="eastAsia" w:ascii="宋体" w:hAnsi="宋体" w:eastAsia="宋体" w:cs="Times New Roman"/>
                <w:color w:val="000000" w:themeColor="text1"/>
                <w:szCs w:val="24"/>
                <w:highlight w:val="none"/>
              </w:rPr>
              <w:t>1、通过ISO9001质量管理体系认证得1分。（提供有效的证书复印件并加盖投标人公章）</w:t>
            </w:r>
          </w:p>
          <w:p>
            <w:pPr>
              <w:widowControl/>
              <w:ind w:firstLine="420" w:firstLineChars="200"/>
              <w:rPr>
                <w:rFonts w:ascii="宋体" w:hAnsi="宋体" w:eastAsia="宋体" w:cs="Times New Roman"/>
                <w:color w:val="000000" w:themeColor="text1"/>
                <w:szCs w:val="24"/>
                <w:highlight w:val="none"/>
                <w:lang w:val="ru-RU"/>
              </w:rPr>
            </w:pPr>
            <w:r>
              <w:rPr>
                <w:rFonts w:hint="eastAsia" w:ascii="宋体" w:hAnsi="宋体" w:eastAsia="宋体" w:cs="Times New Roman"/>
                <w:color w:val="000000" w:themeColor="text1"/>
                <w:szCs w:val="24"/>
                <w:highlight w:val="none"/>
              </w:rPr>
              <w:t>2、通过ISO27001信息安全管理体系认证得1分。（提供有效的证书复印件并加盖投标人公章）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55" w:type="dxa"/>
          <w:trHeight w:val="416" w:hRule="atLeast"/>
        </w:trPr>
        <w:tc>
          <w:tcPr>
            <w:tcW w:w="743" w:type="dxa"/>
            <w:tcBorders>
              <w:right w:val="single" w:color="auto" w:sz="4" w:space="0"/>
            </w:tcBorders>
            <w:vAlign w:val="center"/>
          </w:tcPr>
          <w:p>
            <w:pPr>
              <w:spacing w:line="440" w:lineRule="exact"/>
              <w:jc w:val="center"/>
              <w:rPr>
                <w:rFonts w:ascii="Times New Roman" w:hAnsi="Times New Roman" w:eastAsia="宋体" w:cs="Times New Roman"/>
                <w:color w:val="000000" w:themeColor="text1"/>
                <w:szCs w:val="21"/>
                <w:highlight w:val="none"/>
              </w:rPr>
            </w:pPr>
          </w:p>
        </w:tc>
        <w:tc>
          <w:tcPr>
            <w:tcW w:w="1334" w:type="dxa"/>
            <w:tcBorders>
              <w:right w:val="single" w:color="auto" w:sz="4" w:space="0"/>
            </w:tcBorders>
            <w:vAlign w:val="center"/>
          </w:tcPr>
          <w:p>
            <w:pPr>
              <w:adjustRightInd w:val="0"/>
              <w:snapToGrid w:val="0"/>
              <w:spacing w:line="500" w:lineRule="atLeast"/>
              <w:jc w:val="center"/>
              <w:rPr>
                <w:rFonts w:ascii="Arial" w:hAnsi="Arial" w:eastAsia="宋体" w:cs="Arial"/>
                <w:color w:val="000000" w:themeColor="text1"/>
                <w:highlight w:val="none"/>
              </w:rPr>
            </w:pPr>
          </w:p>
        </w:tc>
        <w:tc>
          <w:tcPr>
            <w:tcW w:w="1059" w:type="dxa"/>
            <w:vMerge w:val="continue"/>
            <w:tcBorders>
              <w:left w:val="single" w:color="auto" w:sz="4" w:space="0"/>
              <w:right w:val="single" w:color="auto" w:sz="4" w:space="0"/>
            </w:tcBorders>
            <w:vAlign w:val="center"/>
          </w:tcPr>
          <w:p>
            <w:pPr>
              <w:widowControl/>
              <w:ind w:firstLine="200" w:firstLineChars="100"/>
              <w:rPr>
                <w:rFonts w:ascii="宋体" w:hAnsi="宋体" w:eastAsia="宋体" w:cs="宋体"/>
                <w:color w:val="000000" w:themeColor="text1"/>
                <w:kern w:val="0"/>
                <w:sz w:val="20"/>
                <w:szCs w:val="20"/>
                <w:highlight w:val="none"/>
              </w:rPr>
            </w:pPr>
          </w:p>
        </w:tc>
        <w:tc>
          <w:tcPr>
            <w:tcW w:w="1309" w:type="dxa"/>
            <w:gridSpan w:val="2"/>
            <w:tcBorders>
              <w:top w:val="single" w:color="auto" w:sz="4" w:space="0"/>
              <w:left w:val="single" w:color="auto" w:sz="4" w:space="0"/>
              <w:bottom w:val="nil"/>
              <w:right w:val="single" w:color="auto" w:sz="4" w:space="0"/>
            </w:tcBorders>
            <w:vAlign w:val="center"/>
          </w:tcPr>
          <w:p>
            <w:pPr>
              <w:widowControl/>
              <w:rPr>
                <w:rFonts w:ascii="宋体" w:hAnsi="宋体" w:eastAsia="宋体" w:cs="Times New Roman"/>
                <w:color w:val="000000" w:themeColor="text1"/>
                <w:szCs w:val="24"/>
                <w:highlight w:val="none"/>
              </w:rPr>
            </w:pPr>
            <w:r>
              <w:rPr>
                <w:rFonts w:hint="eastAsia" w:ascii="宋体" w:hAnsi="宋体" w:eastAsia="宋体" w:cs="Times New Roman"/>
                <w:color w:val="000000" w:themeColor="text1"/>
                <w:szCs w:val="24"/>
                <w:highlight w:val="none"/>
              </w:rPr>
              <w:t>业绩与经验10分</w:t>
            </w:r>
          </w:p>
        </w:tc>
        <w:tc>
          <w:tcPr>
            <w:tcW w:w="5337" w:type="dxa"/>
            <w:gridSpan w:val="2"/>
            <w:tcBorders>
              <w:top w:val="single" w:color="auto" w:sz="4" w:space="0"/>
              <w:left w:val="single" w:color="auto" w:sz="4" w:space="0"/>
              <w:bottom w:val="nil"/>
              <w:right w:val="single" w:color="auto" w:sz="4" w:space="0"/>
            </w:tcBorders>
            <w:vAlign w:val="center"/>
          </w:tcPr>
          <w:p>
            <w:pPr>
              <w:widowControl/>
              <w:ind w:firstLine="420" w:firstLineChars="200"/>
              <w:rPr>
                <w:rFonts w:ascii="宋体" w:hAnsi="宋体" w:eastAsia="宋体" w:cs="Times New Roman"/>
                <w:color w:val="000000" w:themeColor="text1"/>
                <w:szCs w:val="24"/>
                <w:highlight w:val="none"/>
              </w:rPr>
            </w:pPr>
            <w:r>
              <w:rPr>
                <w:rFonts w:hint="eastAsia" w:ascii="宋体" w:hAnsi="宋体" w:eastAsia="宋体" w:cs="Times New Roman"/>
                <w:color w:val="000000" w:themeColor="text1"/>
                <w:szCs w:val="24"/>
                <w:highlight w:val="none"/>
              </w:rPr>
              <w:t>1、2016年至本招标文件发出日期间，与工行、农行、中行、建行、交行或邮储银行有金融IC卡合作案例（社保卡除外），每有1家银行总行级案例得1分。</w:t>
            </w:r>
          </w:p>
          <w:p>
            <w:pPr>
              <w:widowControl/>
              <w:ind w:firstLine="420" w:firstLineChars="200"/>
              <w:rPr>
                <w:rFonts w:ascii="宋体" w:hAnsi="宋体" w:eastAsia="宋体" w:cs="Times New Roman"/>
                <w:color w:val="000000" w:themeColor="text1"/>
                <w:szCs w:val="24"/>
                <w:highlight w:val="none"/>
              </w:rPr>
            </w:pPr>
            <w:r>
              <w:rPr>
                <w:rFonts w:hint="eastAsia" w:ascii="宋体" w:hAnsi="宋体" w:eastAsia="宋体" w:cs="Times New Roman"/>
                <w:color w:val="000000" w:themeColor="text1"/>
                <w:szCs w:val="24"/>
                <w:highlight w:val="none"/>
              </w:rPr>
              <w:t>2、2016年至本招标文件发出日期间，与12家全国性股份制商业银行（中信、光大、招商、华夏、渤海、浦发、兴业、广发、民生、平安、恒丰或浙商）有金融IC卡合作案例（社保卡除外），每有1家银行总行级案例得0.5分。</w:t>
            </w:r>
          </w:p>
          <w:p>
            <w:pPr>
              <w:widowControl/>
              <w:ind w:firstLine="420" w:firstLineChars="200"/>
              <w:rPr>
                <w:rFonts w:ascii="宋体" w:hAnsi="宋体" w:eastAsia="宋体" w:cs="Times New Roman"/>
                <w:color w:val="000000" w:themeColor="text1"/>
                <w:szCs w:val="24"/>
                <w:highlight w:val="none"/>
              </w:rPr>
            </w:pPr>
            <w:r>
              <w:rPr>
                <w:rFonts w:hint="eastAsia" w:ascii="宋体" w:hAnsi="宋体" w:eastAsia="宋体" w:cs="Times New Roman"/>
                <w:color w:val="000000" w:themeColor="text1"/>
                <w:szCs w:val="24"/>
                <w:highlight w:val="none"/>
              </w:rPr>
              <w:t>3、初步审查阶段的案列不纳入本项评分。以上得分累计最高不超过10分；同一家银行的多个有效案例只记一次得分。</w:t>
            </w:r>
          </w:p>
          <w:p>
            <w:pPr>
              <w:widowControl/>
              <w:ind w:firstLine="420" w:firstLineChars="200"/>
              <w:rPr>
                <w:rFonts w:ascii="宋体" w:hAnsi="宋体" w:eastAsia="宋体" w:cs="Times New Roman"/>
                <w:color w:val="000000" w:themeColor="text1"/>
                <w:szCs w:val="24"/>
                <w:highlight w:val="none"/>
                <w:lang w:val="ru-RU"/>
              </w:rPr>
            </w:pPr>
            <w:r>
              <w:rPr>
                <w:rFonts w:hint="eastAsia" w:ascii="宋体" w:hAnsi="宋体" w:eastAsia="宋体" w:cs="Times New Roman"/>
                <w:color w:val="000000" w:themeColor="text1"/>
                <w:szCs w:val="24"/>
                <w:highlight w:val="none"/>
              </w:rPr>
              <w:t>（要求如实填列《评分要求案例评审表》（见附件），提供合同复印件并加盖投标人公章（原件备查）；合同复印件包括但不限于合同首页及合同关键页，需说明客户名称、合同范围、签订时间、双方签字盖章内容；案例时间以合同签订时间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55" w:type="dxa"/>
          <w:trHeight w:val="416" w:hRule="atLeast"/>
        </w:trPr>
        <w:tc>
          <w:tcPr>
            <w:tcW w:w="743" w:type="dxa"/>
            <w:tcBorders>
              <w:right w:val="single" w:color="auto" w:sz="4" w:space="0"/>
            </w:tcBorders>
            <w:vAlign w:val="center"/>
          </w:tcPr>
          <w:p>
            <w:pPr>
              <w:spacing w:line="440" w:lineRule="exact"/>
              <w:jc w:val="center"/>
              <w:rPr>
                <w:rFonts w:ascii="Times New Roman" w:hAnsi="Times New Roman" w:eastAsia="宋体" w:cs="Times New Roman"/>
                <w:color w:val="000000" w:themeColor="text1"/>
                <w:szCs w:val="21"/>
                <w:highlight w:val="none"/>
              </w:rPr>
            </w:pPr>
          </w:p>
        </w:tc>
        <w:tc>
          <w:tcPr>
            <w:tcW w:w="1334" w:type="dxa"/>
            <w:tcBorders>
              <w:right w:val="single" w:color="auto" w:sz="4" w:space="0"/>
            </w:tcBorders>
            <w:vAlign w:val="center"/>
          </w:tcPr>
          <w:p>
            <w:pPr>
              <w:adjustRightInd w:val="0"/>
              <w:snapToGrid w:val="0"/>
              <w:spacing w:line="500" w:lineRule="atLeast"/>
              <w:jc w:val="center"/>
              <w:rPr>
                <w:rFonts w:ascii="Arial" w:hAnsi="Arial" w:eastAsia="宋体" w:cs="Arial"/>
                <w:color w:val="000000" w:themeColor="text1"/>
                <w:highlight w:val="none"/>
              </w:rPr>
            </w:pPr>
          </w:p>
        </w:tc>
        <w:tc>
          <w:tcPr>
            <w:tcW w:w="1059" w:type="dxa"/>
            <w:vMerge w:val="continue"/>
            <w:tcBorders>
              <w:left w:val="single" w:color="auto" w:sz="4" w:space="0"/>
              <w:right w:val="single" w:color="auto" w:sz="4" w:space="0"/>
            </w:tcBorders>
            <w:vAlign w:val="center"/>
          </w:tcPr>
          <w:p>
            <w:pPr>
              <w:widowControl/>
              <w:ind w:firstLine="200" w:firstLineChars="100"/>
              <w:rPr>
                <w:rFonts w:ascii="宋体" w:hAnsi="宋体" w:eastAsia="宋体" w:cs="宋体"/>
                <w:color w:val="000000" w:themeColor="text1"/>
                <w:kern w:val="0"/>
                <w:sz w:val="20"/>
                <w:szCs w:val="20"/>
                <w:highlight w:val="none"/>
              </w:rPr>
            </w:pPr>
          </w:p>
        </w:tc>
        <w:tc>
          <w:tcPr>
            <w:tcW w:w="1309" w:type="dxa"/>
            <w:gridSpan w:val="2"/>
            <w:tcBorders>
              <w:top w:val="single" w:color="auto" w:sz="4" w:space="0"/>
              <w:left w:val="single" w:color="auto" w:sz="4" w:space="0"/>
              <w:bottom w:val="nil"/>
              <w:right w:val="single" w:color="auto" w:sz="4" w:space="0"/>
            </w:tcBorders>
            <w:vAlign w:val="center"/>
          </w:tcPr>
          <w:p>
            <w:pPr>
              <w:widowControl/>
              <w:rPr>
                <w:rFonts w:ascii="宋体" w:hAnsi="宋体" w:eastAsia="宋体" w:cs="Times New Roman"/>
                <w:color w:val="000000" w:themeColor="text1"/>
                <w:szCs w:val="24"/>
                <w:highlight w:val="none"/>
              </w:rPr>
            </w:pPr>
            <w:r>
              <w:rPr>
                <w:rFonts w:hint="eastAsia" w:ascii="宋体" w:hAnsi="宋体" w:eastAsia="宋体" w:cs="Times New Roman"/>
                <w:color w:val="000000" w:themeColor="text1"/>
                <w:szCs w:val="24"/>
                <w:highlight w:val="none"/>
              </w:rPr>
              <w:t>紧急供货能力3分</w:t>
            </w:r>
          </w:p>
        </w:tc>
        <w:tc>
          <w:tcPr>
            <w:tcW w:w="5337" w:type="dxa"/>
            <w:gridSpan w:val="2"/>
            <w:tcBorders>
              <w:top w:val="single" w:color="auto" w:sz="4" w:space="0"/>
              <w:left w:val="single" w:color="auto" w:sz="4" w:space="0"/>
              <w:bottom w:val="nil"/>
              <w:right w:val="single" w:color="auto" w:sz="4" w:space="0"/>
            </w:tcBorders>
            <w:vAlign w:val="center"/>
          </w:tcPr>
          <w:p>
            <w:pPr>
              <w:widowControl/>
              <w:ind w:firstLine="420" w:firstLineChars="200"/>
              <w:rPr>
                <w:rFonts w:ascii="宋体" w:hAnsi="宋体" w:eastAsia="宋体" w:cs="Times New Roman"/>
                <w:color w:val="000000" w:themeColor="text1"/>
                <w:szCs w:val="24"/>
                <w:highlight w:val="none"/>
              </w:rPr>
            </w:pPr>
            <w:r>
              <w:rPr>
                <w:rFonts w:hint="eastAsia" w:ascii="宋体" w:hAnsi="宋体" w:eastAsia="宋体" w:cs="Times New Roman"/>
                <w:color w:val="000000" w:themeColor="text1"/>
                <w:szCs w:val="24"/>
                <w:highlight w:val="none"/>
              </w:rPr>
              <w:t>投标人针对紧急项目需求，能实现极短时间内按标准完成制卡并配送至招标人指定库房的要求（提供加盖投标人公章的承诺函原件，格式自拟）：</w:t>
            </w:r>
          </w:p>
          <w:p>
            <w:pPr>
              <w:widowControl/>
              <w:ind w:firstLine="420" w:firstLineChars="200"/>
              <w:rPr>
                <w:rFonts w:ascii="宋体" w:hAnsi="宋体" w:eastAsia="宋体" w:cs="Times New Roman"/>
                <w:color w:val="000000" w:themeColor="text1"/>
                <w:szCs w:val="24"/>
                <w:highlight w:val="none"/>
              </w:rPr>
            </w:pPr>
            <w:r>
              <w:rPr>
                <w:rFonts w:hint="eastAsia" w:ascii="宋体" w:hAnsi="宋体" w:eastAsia="宋体" w:cs="Times New Roman"/>
                <w:color w:val="000000" w:themeColor="text1"/>
                <w:szCs w:val="24"/>
                <w:highlight w:val="none"/>
              </w:rPr>
              <w:t>1、招标人发出订单后，投标人能在5天（含）内按标准完成制卡并配送至招标人指定库房的，得3分；</w:t>
            </w:r>
          </w:p>
          <w:p>
            <w:pPr>
              <w:widowControl/>
              <w:ind w:firstLine="420" w:firstLineChars="200"/>
              <w:rPr>
                <w:rFonts w:ascii="宋体" w:hAnsi="宋体" w:eastAsia="宋体" w:cs="Times New Roman"/>
                <w:color w:val="000000" w:themeColor="text1"/>
                <w:szCs w:val="24"/>
                <w:highlight w:val="none"/>
              </w:rPr>
            </w:pPr>
            <w:r>
              <w:rPr>
                <w:rFonts w:hint="eastAsia" w:ascii="宋体" w:hAnsi="宋体" w:eastAsia="宋体" w:cs="Times New Roman"/>
                <w:color w:val="000000" w:themeColor="text1"/>
                <w:szCs w:val="24"/>
                <w:highlight w:val="none"/>
              </w:rPr>
              <w:t>2、招标人发出订单后，投标人能在6天（含）-7天（含）之间按标准完成制卡并配送至招标人指定库房的，得1.5分；</w:t>
            </w:r>
          </w:p>
          <w:p>
            <w:pPr>
              <w:widowControl/>
              <w:ind w:firstLine="420" w:firstLineChars="200"/>
              <w:rPr>
                <w:rFonts w:ascii="宋体" w:hAnsi="宋体" w:eastAsia="宋体" w:cs="Times New Roman"/>
                <w:color w:val="000000" w:themeColor="text1"/>
                <w:szCs w:val="24"/>
                <w:highlight w:val="none"/>
                <w:lang w:val="ru-RU"/>
              </w:rPr>
            </w:pPr>
            <w:r>
              <w:rPr>
                <w:rFonts w:hint="eastAsia" w:ascii="宋体" w:hAnsi="宋体" w:eastAsia="宋体" w:cs="Times New Roman"/>
                <w:color w:val="000000" w:themeColor="text1"/>
                <w:szCs w:val="24"/>
                <w:highlight w:val="none"/>
              </w:rPr>
              <w:t>3、招标人发出订单后，投标人按标准完成制卡并配送至招标人指定库房所需时间超过7天的，得0分。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55" w:type="dxa"/>
          <w:trHeight w:val="416" w:hRule="atLeast"/>
        </w:trPr>
        <w:tc>
          <w:tcPr>
            <w:tcW w:w="743" w:type="dxa"/>
            <w:tcBorders>
              <w:right w:val="single" w:color="auto" w:sz="4" w:space="0"/>
            </w:tcBorders>
            <w:vAlign w:val="center"/>
          </w:tcPr>
          <w:p>
            <w:pPr>
              <w:spacing w:line="440" w:lineRule="exact"/>
              <w:jc w:val="center"/>
              <w:rPr>
                <w:rFonts w:ascii="Times New Roman" w:hAnsi="Times New Roman" w:eastAsia="宋体" w:cs="Times New Roman"/>
                <w:color w:val="000000" w:themeColor="text1"/>
                <w:szCs w:val="21"/>
                <w:highlight w:val="none"/>
              </w:rPr>
            </w:pPr>
          </w:p>
        </w:tc>
        <w:tc>
          <w:tcPr>
            <w:tcW w:w="1334" w:type="dxa"/>
            <w:tcBorders>
              <w:right w:val="single" w:color="auto" w:sz="4" w:space="0"/>
            </w:tcBorders>
            <w:vAlign w:val="center"/>
          </w:tcPr>
          <w:p>
            <w:pPr>
              <w:adjustRightInd w:val="0"/>
              <w:snapToGrid w:val="0"/>
              <w:spacing w:line="500" w:lineRule="atLeast"/>
              <w:jc w:val="center"/>
              <w:rPr>
                <w:rFonts w:ascii="Arial" w:hAnsi="Arial" w:eastAsia="宋体" w:cs="Arial"/>
                <w:color w:val="000000" w:themeColor="text1"/>
                <w:highlight w:val="none"/>
              </w:rPr>
            </w:pPr>
          </w:p>
        </w:tc>
        <w:tc>
          <w:tcPr>
            <w:tcW w:w="1059" w:type="dxa"/>
            <w:vMerge w:val="continue"/>
            <w:tcBorders>
              <w:left w:val="single" w:color="auto" w:sz="4" w:space="0"/>
              <w:bottom w:val="single" w:color="auto" w:sz="4" w:space="0"/>
              <w:right w:val="single" w:color="auto" w:sz="4" w:space="0"/>
            </w:tcBorders>
            <w:vAlign w:val="center"/>
          </w:tcPr>
          <w:p>
            <w:pPr>
              <w:widowControl/>
              <w:ind w:firstLine="200" w:firstLineChars="100"/>
              <w:rPr>
                <w:rFonts w:ascii="宋体" w:hAnsi="宋体" w:eastAsia="宋体" w:cs="宋体"/>
                <w:color w:val="000000" w:themeColor="text1"/>
                <w:kern w:val="0"/>
                <w:sz w:val="20"/>
                <w:szCs w:val="20"/>
                <w:highlight w:val="none"/>
              </w:rPr>
            </w:pPr>
          </w:p>
        </w:tc>
        <w:tc>
          <w:tcPr>
            <w:tcW w:w="1309" w:type="dxa"/>
            <w:gridSpan w:val="2"/>
            <w:tcBorders>
              <w:top w:val="single" w:color="auto" w:sz="4" w:space="0"/>
              <w:left w:val="single" w:color="auto" w:sz="4" w:space="0"/>
              <w:bottom w:val="single" w:color="auto" w:sz="4" w:space="0"/>
              <w:right w:val="single" w:color="auto" w:sz="4" w:space="0"/>
            </w:tcBorders>
            <w:vAlign w:val="center"/>
          </w:tcPr>
          <w:p>
            <w:pPr>
              <w:widowControl/>
              <w:rPr>
                <w:rFonts w:ascii="宋体" w:hAnsi="宋体" w:eastAsia="宋体" w:cs="Times New Roman"/>
                <w:color w:val="000000" w:themeColor="text1"/>
                <w:szCs w:val="24"/>
                <w:highlight w:val="none"/>
              </w:rPr>
            </w:pPr>
            <w:r>
              <w:rPr>
                <w:rFonts w:hint="eastAsia" w:ascii="宋体" w:hAnsi="宋体" w:eastAsia="宋体" w:cs="Times New Roman"/>
                <w:color w:val="000000" w:themeColor="text1"/>
                <w:szCs w:val="24"/>
                <w:highlight w:val="none"/>
              </w:rPr>
              <w:t>跨行业应用能力5分</w:t>
            </w:r>
          </w:p>
        </w:tc>
        <w:tc>
          <w:tcPr>
            <w:tcW w:w="5337" w:type="dxa"/>
            <w:gridSpan w:val="2"/>
            <w:tcBorders>
              <w:top w:val="single" w:color="auto" w:sz="4" w:space="0"/>
              <w:left w:val="single" w:color="auto" w:sz="4" w:space="0"/>
              <w:bottom w:val="nil"/>
              <w:right w:val="single" w:color="auto" w:sz="4" w:space="0"/>
            </w:tcBorders>
            <w:vAlign w:val="center"/>
          </w:tcPr>
          <w:p>
            <w:pPr>
              <w:widowControl/>
              <w:ind w:firstLine="420" w:firstLineChars="200"/>
              <w:rPr>
                <w:rFonts w:ascii="宋体" w:hAnsi="宋体" w:eastAsia="宋体" w:cs="Times New Roman"/>
                <w:color w:val="000000" w:themeColor="text1"/>
                <w:szCs w:val="24"/>
                <w:highlight w:val="none"/>
              </w:rPr>
            </w:pPr>
            <w:r>
              <w:rPr>
                <w:rFonts w:hint="eastAsia" w:ascii="宋体" w:hAnsi="宋体" w:eastAsia="宋体" w:cs="Times New Roman"/>
                <w:color w:val="000000" w:themeColor="text1"/>
                <w:szCs w:val="24"/>
                <w:highlight w:val="none"/>
              </w:rPr>
              <w:t>1、2016年至本招标文件发出日期间，投标人提供的借记IC卡支持跨行业应用，包含有社保卡应用、住房公积金应用、城市交通一卡通应用、ETC应用、市民卡应用、移动支付应用、旅游应用、电子证照卡应用、校园一卡通应用、居民健康卡应用、铁路行业应用或居住证应用行业的，以上应用行业每有一项得0.5分。</w:t>
            </w:r>
          </w:p>
          <w:p>
            <w:pPr>
              <w:widowControl/>
              <w:ind w:firstLine="420" w:firstLineChars="200"/>
              <w:rPr>
                <w:rFonts w:ascii="宋体" w:hAnsi="宋体" w:eastAsia="宋体" w:cs="Times New Roman"/>
                <w:color w:val="000000" w:themeColor="text1"/>
                <w:szCs w:val="24"/>
                <w:highlight w:val="none"/>
              </w:rPr>
            </w:pPr>
            <w:r>
              <w:rPr>
                <w:rFonts w:hint="eastAsia" w:ascii="宋体" w:hAnsi="宋体" w:eastAsia="宋体" w:cs="Times New Roman"/>
                <w:color w:val="000000" w:themeColor="text1"/>
                <w:szCs w:val="24"/>
                <w:highlight w:val="none"/>
              </w:rPr>
              <w:t>2、以上得分累计最高不超过5分；涉及同一应用行业的多个案例只得0.5分。</w:t>
            </w:r>
          </w:p>
          <w:p>
            <w:pPr>
              <w:widowControl/>
              <w:ind w:firstLine="420" w:firstLineChars="200"/>
              <w:rPr>
                <w:rFonts w:ascii="宋体" w:hAnsi="宋体" w:eastAsia="宋体" w:cs="Times New Roman"/>
                <w:color w:val="000000" w:themeColor="text1"/>
                <w:szCs w:val="24"/>
                <w:highlight w:val="none"/>
                <w:lang w:val="ru-RU"/>
              </w:rPr>
            </w:pPr>
            <w:r>
              <w:rPr>
                <w:rFonts w:hint="eastAsia" w:ascii="宋体" w:hAnsi="宋体" w:eastAsia="宋体" w:cs="Times New Roman"/>
                <w:color w:val="000000" w:themeColor="text1"/>
                <w:szCs w:val="24"/>
                <w:highlight w:val="none"/>
              </w:rPr>
              <w:t>（要求如实填列《跨行业应用能力案例表》（见附件），提供合同或订单复印件并加盖投标人公章，原件备查；案例时间以合同签订时间或订单发出时间为准）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55" w:type="dxa"/>
          <w:trHeight w:val="416" w:hRule="atLeast"/>
        </w:trPr>
        <w:tc>
          <w:tcPr>
            <w:tcW w:w="743" w:type="dxa"/>
            <w:tcBorders>
              <w:right w:val="single" w:color="auto" w:sz="4" w:space="0"/>
            </w:tcBorders>
            <w:vAlign w:val="center"/>
          </w:tcPr>
          <w:p>
            <w:pPr>
              <w:spacing w:line="440" w:lineRule="exact"/>
              <w:jc w:val="center"/>
              <w:rPr>
                <w:rFonts w:ascii="Times New Roman" w:hAnsi="Times New Roman" w:eastAsia="宋体" w:cs="Times New Roman"/>
                <w:color w:val="000000" w:themeColor="text1"/>
                <w:szCs w:val="21"/>
                <w:highlight w:val="none"/>
              </w:rPr>
            </w:pPr>
          </w:p>
        </w:tc>
        <w:tc>
          <w:tcPr>
            <w:tcW w:w="1334" w:type="dxa"/>
            <w:tcBorders>
              <w:right w:val="single" w:color="auto" w:sz="4" w:space="0"/>
            </w:tcBorders>
            <w:vAlign w:val="center"/>
          </w:tcPr>
          <w:p>
            <w:pPr>
              <w:adjustRightInd w:val="0"/>
              <w:snapToGrid w:val="0"/>
              <w:spacing w:line="500" w:lineRule="atLeast"/>
              <w:jc w:val="center"/>
              <w:rPr>
                <w:rFonts w:ascii="Arial" w:hAnsi="Arial" w:eastAsia="宋体" w:cs="Arial"/>
                <w:color w:val="000000" w:themeColor="text1"/>
                <w:highlight w:val="none"/>
              </w:rPr>
            </w:pPr>
          </w:p>
        </w:tc>
        <w:tc>
          <w:tcPr>
            <w:tcW w:w="1059" w:type="dxa"/>
            <w:vMerge w:val="restart"/>
            <w:tcBorders>
              <w:top w:val="single" w:color="auto" w:sz="4" w:space="0"/>
              <w:left w:val="single" w:color="auto" w:sz="4" w:space="0"/>
              <w:right w:val="single" w:color="auto" w:sz="4" w:space="0"/>
            </w:tcBorders>
            <w:vAlign w:val="center"/>
          </w:tcPr>
          <w:p>
            <w:pPr>
              <w:widowControl/>
              <w:rPr>
                <w:rFonts w:ascii="宋体" w:hAnsi="宋体" w:eastAsia="宋体" w:cs="Times New Roman"/>
                <w:color w:val="000000" w:themeColor="text1"/>
                <w:szCs w:val="24"/>
                <w:highlight w:val="none"/>
              </w:rPr>
            </w:pPr>
            <w:r>
              <w:rPr>
                <w:rFonts w:hint="eastAsia" w:ascii="宋体" w:hAnsi="宋体" w:eastAsia="宋体" w:cs="Times New Roman"/>
                <w:color w:val="000000" w:themeColor="text1"/>
                <w:szCs w:val="24"/>
                <w:highlight w:val="none"/>
              </w:rPr>
              <w:t>技术部分11分</w:t>
            </w:r>
          </w:p>
          <w:p>
            <w:pPr>
              <w:widowControl/>
              <w:rPr>
                <w:rFonts w:ascii="宋体" w:hAnsi="宋体" w:eastAsia="宋体" w:cs="Times New Roman"/>
                <w:color w:val="000000" w:themeColor="text1"/>
                <w:szCs w:val="24"/>
                <w:highlight w:val="none"/>
              </w:rPr>
            </w:pPr>
          </w:p>
        </w:tc>
        <w:tc>
          <w:tcPr>
            <w:tcW w:w="1309" w:type="dxa"/>
            <w:gridSpan w:val="2"/>
            <w:tcBorders>
              <w:top w:val="single" w:color="auto" w:sz="4" w:space="0"/>
              <w:left w:val="single" w:color="auto" w:sz="4" w:space="0"/>
              <w:bottom w:val="nil"/>
              <w:right w:val="single" w:color="auto" w:sz="4" w:space="0"/>
            </w:tcBorders>
            <w:vAlign w:val="center"/>
          </w:tcPr>
          <w:p>
            <w:pPr>
              <w:widowControl/>
              <w:rPr>
                <w:rFonts w:ascii="宋体" w:hAnsi="宋体" w:eastAsia="宋体" w:cs="Times New Roman"/>
                <w:color w:val="000000" w:themeColor="text1"/>
                <w:szCs w:val="24"/>
                <w:highlight w:val="none"/>
              </w:rPr>
            </w:pPr>
            <w:r>
              <w:rPr>
                <w:rFonts w:hint="eastAsia" w:ascii="宋体" w:hAnsi="宋体" w:eastAsia="宋体" w:cs="Times New Roman"/>
                <w:color w:val="000000" w:themeColor="text1"/>
                <w:szCs w:val="24"/>
                <w:highlight w:val="none"/>
              </w:rPr>
              <w:t>设计能力</w:t>
            </w:r>
          </w:p>
          <w:p>
            <w:pPr>
              <w:widowControl/>
              <w:rPr>
                <w:rFonts w:ascii="宋体" w:hAnsi="宋体" w:eastAsia="宋体" w:cs="Times New Roman"/>
                <w:color w:val="000000" w:themeColor="text1"/>
                <w:szCs w:val="24"/>
                <w:highlight w:val="none"/>
              </w:rPr>
            </w:pPr>
            <w:r>
              <w:rPr>
                <w:rFonts w:hint="eastAsia" w:ascii="宋体" w:hAnsi="宋体" w:eastAsia="宋体" w:cs="Times New Roman"/>
                <w:color w:val="000000" w:themeColor="text1"/>
                <w:szCs w:val="24"/>
                <w:highlight w:val="none"/>
              </w:rPr>
              <w:t>4分</w:t>
            </w:r>
          </w:p>
          <w:p>
            <w:pPr>
              <w:widowControl/>
              <w:ind w:firstLine="420" w:firstLineChars="200"/>
              <w:rPr>
                <w:rFonts w:ascii="宋体" w:hAnsi="宋体" w:eastAsia="宋体" w:cs="Times New Roman"/>
                <w:color w:val="000000" w:themeColor="text1"/>
                <w:szCs w:val="24"/>
                <w:highlight w:val="none"/>
              </w:rPr>
            </w:pPr>
          </w:p>
        </w:tc>
        <w:tc>
          <w:tcPr>
            <w:tcW w:w="5337" w:type="dxa"/>
            <w:gridSpan w:val="2"/>
            <w:tcBorders>
              <w:top w:val="single" w:color="auto" w:sz="4" w:space="0"/>
              <w:left w:val="single" w:color="auto" w:sz="4" w:space="0"/>
              <w:bottom w:val="nil"/>
              <w:right w:val="single" w:color="auto" w:sz="4" w:space="0"/>
            </w:tcBorders>
            <w:vAlign w:val="center"/>
          </w:tcPr>
          <w:p>
            <w:pPr>
              <w:widowControl/>
              <w:ind w:firstLine="420" w:firstLineChars="200"/>
              <w:rPr>
                <w:rFonts w:ascii="宋体" w:hAnsi="宋体" w:eastAsia="宋体" w:cs="Times New Roman"/>
                <w:color w:val="000000" w:themeColor="text1"/>
                <w:szCs w:val="24"/>
                <w:highlight w:val="none"/>
              </w:rPr>
            </w:pPr>
            <w:r>
              <w:rPr>
                <w:rFonts w:hint="eastAsia" w:ascii="宋体" w:hAnsi="宋体" w:eastAsia="宋体" w:cs="Times New Roman"/>
                <w:color w:val="000000" w:themeColor="text1"/>
                <w:szCs w:val="24"/>
                <w:highlight w:val="none"/>
              </w:rPr>
              <w:t>需要提供水墨风格生肖鼠、卡通风格生肖鼠以及自选风格生肖鼠IC卡各1张的样卡及设计稿件（样卡及彩印版的设计稿件单独封装，并与投标文件一起提交），并提供样卡设计详细思路说明。根据投标人样卡及设计稿件的元素及构图新颖、简洁、协调、美观程度及设计主题的明确性及深度进行综合评审，优得4分，良得3分，一般得1-2分，差得0分。（样卡及设计稿件不予退回）</w:t>
            </w:r>
          </w:p>
          <w:p>
            <w:pPr>
              <w:widowControl/>
              <w:ind w:firstLine="420" w:firstLineChars="200"/>
              <w:rPr>
                <w:rFonts w:ascii="宋体" w:hAnsi="宋体" w:eastAsia="宋体" w:cs="Times New Roman"/>
                <w:color w:val="000000" w:themeColor="text1"/>
                <w:szCs w:val="24"/>
                <w:highlight w:val="none"/>
              </w:rPr>
            </w:pPr>
            <w:r>
              <w:rPr>
                <w:rFonts w:hint="eastAsia" w:ascii="宋体" w:hAnsi="宋体" w:eastAsia="宋体" w:cs="Times New Roman"/>
                <w:color w:val="000000" w:themeColor="text1"/>
                <w:szCs w:val="24"/>
                <w:highlight w:val="none"/>
              </w:rPr>
              <w:t>特别说明：</w:t>
            </w:r>
          </w:p>
          <w:p>
            <w:pPr>
              <w:widowControl/>
              <w:ind w:firstLine="420" w:firstLineChars="200"/>
              <w:rPr>
                <w:rFonts w:ascii="宋体" w:hAnsi="宋体" w:eastAsia="宋体" w:cs="Times New Roman"/>
                <w:color w:val="000000" w:themeColor="text1"/>
                <w:szCs w:val="24"/>
                <w:highlight w:val="none"/>
              </w:rPr>
            </w:pPr>
            <w:r>
              <w:rPr>
                <w:rFonts w:hint="eastAsia" w:ascii="宋体" w:hAnsi="宋体" w:eastAsia="宋体" w:cs="Times New Roman"/>
                <w:color w:val="000000" w:themeColor="text1"/>
                <w:szCs w:val="24"/>
                <w:highlight w:val="none"/>
              </w:rPr>
              <w:t>投标人需承诺（提供加盖投标人公章的承诺函原件，格式自拟）：中标后的设计稿件所涉著作权及相关知识产权归招标人所有。保证其版面设计图案未侵犯任何第三方的合法权益。若招标人因使用该版面设计图案而引起任何侵权纠纷的，均与招标人无关，由中标人负责处理并承担全部责任。经招标人书面许可后，投标人方可在许可范围内使用设计稿件，但不得侵害招标人任何权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55" w:type="dxa"/>
          <w:trHeight w:val="416" w:hRule="atLeast"/>
        </w:trPr>
        <w:tc>
          <w:tcPr>
            <w:tcW w:w="743" w:type="dxa"/>
            <w:tcBorders>
              <w:right w:val="single" w:color="auto" w:sz="4" w:space="0"/>
            </w:tcBorders>
            <w:vAlign w:val="center"/>
          </w:tcPr>
          <w:p>
            <w:pPr>
              <w:spacing w:line="440" w:lineRule="exact"/>
              <w:jc w:val="center"/>
              <w:rPr>
                <w:rFonts w:ascii="Times New Roman" w:hAnsi="Times New Roman" w:eastAsia="宋体" w:cs="Times New Roman"/>
                <w:color w:val="000000" w:themeColor="text1"/>
                <w:szCs w:val="21"/>
                <w:highlight w:val="none"/>
              </w:rPr>
            </w:pPr>
          </w:p>
        </w:tc>
        <w:tc>
          <w:tcPr>
            <w:tcW w:w="1334" w:type="dxa"/>
            <w:tcBorders>
              <w:right w:val="single" w:color="auto" w:sz="4" w:space="0"/>
            </w:tcBorders>
            <w:vAlign w:val="center"/>
          </w:tcPr>
          <w:p>
            <w:pPr>
              <w:adjustRightInd w:val="0"/>
              <w:snapToGrid w:val="0"/>
              <w:spacing w:line="500" w:lineRule="atLeast"/>
              <w:jc w:val="center"/>
              <w:rPr>
                <w:rFonts w:ascii="Arial" w:hAnsi="Arial" w:eastAsia="宋体" w:cs="Arial"/>
                <w:color w:val="000000" w:themeColor="text1"/>
                <w:highlight w:val="none"/>
              </w:rPr>
            </w:pPr>
          </w:p>
        </w:tc>
        <w:tc>
          <w:tcPr>
            <w:tcW w:w="1059" w:type="dxa"/>
            <w:vMerge w:val="continue"/>
            <w:tcBorders>
              <w:left w:val="single" w:color="auto" w:sz="4" w:space="0"/>
              <w:right w:val="single" w:color="auto" w:sz="4" w:space="0"/>
            </w:tcBorders>
            <w:vAlign w:val="center"/>
          </w:tcPr>
          <w:p>
            <w:pPr>
              <w:widowControl/>
              <w:rPr>
                <w:rFonts w:ascii="宋体" w:hAnsi="宋体" w:eastAsia="宋体" w:cs="Times New Roman"/>
                <w:color w:val="000000" w:themeColor="text1"/>
                <w:szCs w:val="24"/>
                <w:highlight w:val="none"/>
              </w:rPr>
            </w:pPr>
          </w:p>
        </w:tc>
        <w:tc>
          <w:tcPr>
            <w:tcW w:w="1309" w:type="dxa"/>
            <w:gridSpan w:val="2"/>
            <w:tcBorders>
              <w:top w:val="single" w:color="auto" w:sz="4" w:space="0"/>
              <w:left w:val="single" w:color="auto" w:sz="4" w:space="0"/>
              <w:bottom w:val="nil"/>
              <w:right w:val="single" w:color="auto" w:sz="4" w:space="0"/>
            </w:tcBorders>
            <w:vAlign w:val="center"/>
          </w:tcPr>
          <w:p>
            <w:pPr>
              <w:widowControl/>
              <w:rPr>
                <w:rFonts w:ascii="宋体" w:hAnsi="宋体" w:eastAsia="宋体" w:cs="Times New Roman"/>
                <w:color w:val="000000" w:themeColor="text1"/>
                <w:szCs w:val="24"/>
                <w:highlight w:val="none"/>
              </w:rPr>
            </w:pPr>
            <w:r>
              <w:rPr>
                <w:rFonts w:hint="eastAsia" w:ascii="宋体" w:hAnsi="宋体" w:eastAsia="宋体" w:cs="Times New Roman"/>
                <w:color w:val="000000" w:themeColor="text1"/>
                <w:szCs w:val="24"/>
                <w:highlight w:val="none"/>
              </w:rPr>
              <w:t>售后服务能力4分</w:t>
            </w:r>
          </w:p>
        </w:tc>
        <w:tc>
          <w:tcPr>
            <w:tcW w:w="5337" w:type="dxa"/>
            <w:gridSpan w:val="2"/>
            <w:tcBorders>
              <w:top w:val="single" w:color="auto" w:sz="4" w:space="0"/>
              <w:left w:val="single" w:color="auto" w:sz="4" w:space="0"/>
              <w:bottom w:val="nil"/>
              <w:right w:val="single" w:color="auto" w:sz="4" w:space="0"/>
            </w:tcBorders>
            <w:vAlign w:val="center"/>
          </w:tcPr>
          <w:p>
            <w:pPr>
              <w:widowControl/>
              <w:ind w:firstLine="420" w:firstLineChars="200"/>
              <w:rPr>
                <w:rFonts w:ascii="宋体" w:hAnsi="宋体" w:eastAsia="宋体" w:cs="Times New Roman"/>
                <w:color w:val="000000" w:themeColor="text1"/>
                <w:szCs w:val="24"/>
                <w:highlight w:val="none"/>
              </w:rPr>
            </w:pPr>
            <w:r>
              <w:rPr>
                <w:rFonts w:hint="eastAsia" w:ascii="宋体" w:hAnsi="宋体" w:eastAsia="宋体" w:cs="Times New Roman"/>
                <w:color w:val="000000" w:themeColor="text1"/>
                <w:szCs w:val="24"/>
                <w:highlight w:val="none"/>
              </w:rPr>
              <w:t>根据投标人售后服务方案（含优先供货保障、远程技术提供、现场解决时效、问题卡比例及退换货方案等）进行综合评审，优得4分，良得3分，一般得1-2分，差得0分。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55" w:type="dxa"/>
          <w:trHeight w:val="416" w:hRule="atLeast"/>
        </w:trPr>
        <w:tc>
          <w:tcPr>
            <w:tcW w:w="743" w:type="dxa"/>
            <w:tcBorders>
              <w:right w:val="single" w:color="auto" w:sz="4" w:space="0"/>
            </w:tcBorders>
            <w:vAlign w:val="center"/>
          </w:tcPr>
          <w:p>
            <w:pPr>
              <w:spacing w:line="440" w:lineRule="exact"/>
              <w:jc w:val="center"/>
              <w:rPr>
                <w:rFonts w:ascii="Times New Roman" w:hAnsi="Times New Roman" w:eastAsia="宋体" w:cs="Times New Roman"/>
                <w:color w:val="000000" w:themeColor="text1"/>
                <w:szCs w:val="21"/>
                <w:highlight w:val="none"/>
              </w:rPr>
            </w:pPr>
          </w:p>
        </w:tc>
        <w:tc>
          <w:tcPr>
            <w:tcW w:w="1334" w:type="dxa"/>
            <w:tcBorders>
              <w:right w:val="single" w:color="auto" w:sz="4" w:space="0"/>
            </w:tcBorders>
            <w:vAlign w:val="center"/>
          </w:tcPr>
          <w:p>
            <w:pPr>
              <w:adjustRightInd w:val="0"/>
              <w:snapToGrid w:val="0"/>
              <w:spacing w:line="500" w:lineRule="atLeast"/>
              <w:jc w:val="center"/>
              <w:rPr>
                <w:rFonts w:ascii="Arial" w:hAnsi="Arial" w:eastAsia="宋体" w:cs="Arial"/>
                <w:color w:val="000000" w:themeColor="text1"/>
                <w:highlight w:val="none"/>
              </w:rPr>
            </w:pPr>
          </w:p>
        </w:tc>
        <w:tc>
          <w:tcPr>
            <w:tcW w:w="1059" w:type="dxa"/>
            <w:vMerge w:val="continue"/>
            <w:tcBorders>
              <w:left w:val="single" w:color="auto" w:sz="4" w:space="0"/>
              <w:right w:val="single" w:color="auto" w:sz="4" w:space="0"/>
            </w:tcBorders>
            <w:vAlign w:val="center"/>
          </w:tcPr>
          <w:p>
            <w:pPr>
              <w:widowControl/>
              <w:rPr>
                <w:rFonts w:ascii="宋体" w:hAnsi="宋体" w:eastAsia="宋体" w:cs="Times New Roman"/>
                <w:color w:val="000000" w:themeColor="text1"/>
                <w:szCs w:val="24"/>
                <w:highlight w:val="none"/>
              </w:rPr>
            </w:pPr>
          </w:p>
        </w:tc>
        <w:tc>
          <w:tcPr>
            <w:tcW w:w="1309" w:type="dxa"/>
            <w:gridSpan w:val="2"/>
            <w:tcBorders>
              <w:top w:val="single" w:color="auto" w:sz="4" w:space="0"/>
              <w:left w:val="single" w:color="auto" w:sz="4" w:space="0"/>
              <w:bottom w:val="nil"/>
              <w:right w:val="single" w:color="auto" w:sz="4" w:space="0"/>
            </w:tcBorders>
            <w:vAlign w:val="center"/>
          </w:tcPr>
          <w:p>
            <w:pPr>
              <w:widowControl/>
              <w:rPr>
                <w:rFonts w:ascii="宋体" w:hAnsi="宋体" w:eastAsia="宋体" w:cs="Times New Roman"/>
                <w:color w:val="000000" w:themeColor="text1"/>
                <w:szCs w:val="24"/>
                <w:highlight w:val="none"/>
              </w:rPr>
            </w:pPr>
            <w:r>
              <w:rPr>
                <w:rFonts w:hint="eastAsia" w:ascii="宋体" w:hAnsi="宋体" w:eastAsia="宋体" w:cs="Times New Roman"/>
                <w:color w:val="000000" w:themeColor="text1"/>
                <w:szCs w:val="24"/>
                <w:highlight w:val="none"/>
              </w:rPr>
              <w:t>安全生产能力3分</w:t>
            </w:r>
          </w:p>
        </w:tc>
        <w:tc>
          <w:tcPr>
            <w:tcW w:w="5337" w:type="dxa"/>
            <w:gridSpan w:val="2"/>
            <w:tcBorders>
              <w:top w:val="single" w:color="auto" w:sz="4" w:space="0"/>
              <w:left w:val="single" w:color="auto" w:sz="4" w:space="0"/>
              <w:bottom w:val="nil"/>
              <w:right w:val="single" w:color="auto" w:sz="4" w:space="0"/>
            </w:tcBorders>
            <w:vAlign w:val="center"/>
          </w:tcPr>
          <w:p>
            <w:pPr>
              <w:widowControl/>
              <w:ind w:firstLine="420" w:firstLineChars="200"/>
              <w:rPr>
                <w:rFonts w:ascii="宋体" w:hAnsi="宋体" w:eastAsia="宋体" w:cs="Times New Roman"/>
                <w:color w:val="000000" w:themeColor="text1"/>
                <w:szCs w:val="24"/>
                <w:highlight w:val="none"/>
              </w:rPr>
            </w:pPr>
            <w:r>
              <w:rPr>
                <w:rFonts w:hint="eastAsia" w:ascii="宋体" w:hAnsi="宋体" w:eastAsia="宋体" w:cs="Times New Roman"/>
                <w:color w:val="000000" w:themeColor="text1"/>
                <w:szCs w:val="24"/>
                <w:highlight w:val="none"/>
              </w:rPr>
              <w:t>根据投标人日常安全保密措施完备性（因工人大量减少、停电、自然灾害情况下的应急处理方案及供货保障措施）进行综合评审，优得3分，良得2分，一般得1分，差得0分。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55" w:type="dxa"/>
          <w:trHeight w:val="416" w:hRule="atLeast"/>
        </w:trPr>
        <w:tc>
          <w:tcPr>
            <w:tcW w:w="743" w:type="dxa"/>
            <w:tcBorders>
              <w:right w:val="single" w:color="auto" w:sz="4" w:space="0"/>
            </w:tcBorders>
            <w:vAlign w:val="center"/>
          </w:tcPr>
          <w:p>
            <w:pPr>
              <w:spacing w:line="440" w:lineRule="exact"/>
              <w:jc w:val="center"/>
              <w:rPr>
                <w:rFonts w:ascii="Times New Roman" w:hAnsi="Times New Roman" w:eastAsia="宋体" w:cs="Times New Roman"/>
                <w:color w:val="000000" w:themeColor="text1"/>
                <w:szCs w:val="21"/>
                <w:highlight w:val="none"/>
              </w:rPr>
            </w:pPr>
          </w:p>
        </w:tc>
        <w:tc>
          <w:tcPr>
            <w:tcW w:w="1334" w:type="dxa"/>
            <w:tcBorders>
              <w:right w:val="single" w:color="auto" w:sz="4" w:space="0"/>
            </w:tcBorders>
            <w:vAlign w:val="center"/>
          </w:tcPr>
          <w:p>
            <w:pPr>
              <w:adjustRightInd w:val="0"/>
              <w:snapToGrid w:val="0"/>
              <w:spacing w:line="500" w:lineRule="atLeast"/>
              <w:jc w:val="center"/>
              <w:rPr>
                <w:rFonts w:ascii="Arial" w:hAnsi="Arial" w:eastAsia="宋体" w:cs="Arial"/>
                <w:color w:val="000000" w:themeColor="text1"/>
                <w:highlight w:val="none"/>
              </w:rPr>
            </w:pPr>
          </w:p>
        </w:tc>
        <w:tc>
          <w:tcPr>
            <w:tcW w:w="1059" w:type="dxa"/>
            <w:vMerge w:val="continue"/>
            <w:tcBorders>
              <w:left w:val="single" w:color="auto" w:sz="4" w:space="0"/>
              <w:right w:val="single" w:color="auto" w:sz="4" w:space="0"/>
            </w:tcBorders>
            <w:vAlign w:val="center"/>
          </w:tcPr>
          <w:p>
            <w:pPr>
              <w:widowControl/>
              <w:rPr>
                <w:rFonts w:ascii="宋体" w:hAnsi="宋体" w:eastAsia="宋体" w:cs="Times New Roman"/>
                <w:color w:val="000000" w:themeColor="text1"/>
                <w:szCs w:val="24"/>
                <w:highlight w:val="none"/>
              </w:rPr>
            </w:pPr>
          </w:p>
        </w:tc>
        <w:tc>
          <w:tcPr>
            <w:tcW w:w="6646" w:type="dxa"/>
            <w:gridSpan w:val="4"/>
            <w:tcBorders>
              <w:top w:val="single" w:color="auto" w:sz="4" w:space="0"/>
              <w:left w:val="single" w:color="auto" w:sz="4" w:space="0"/>
              <w:bottom w:val="nil"/>
              <w:right w:val="single" w:color="auto" w:sz="4" w:space="0"/>
            </w:tcBorders>
            <w:vAlign w:val="center"/>
          </w:tcPr>
          <w:p>
            <w:pPr>
              <w:widowControl/>
              <w:rPr>
                <w:rFonts w:ascii="宋体" w:hAnsi="宋体" w:eastAsia="宋体" w:cs="Times New Roman"/>
                <w:color w:val="000000" w:themeColor="text1"/>
                <w:szCs w:val="24"/>
                <w:highlight w:val="none"/>
              </w:rPr>
            </w:pPr>
            <w:r>
              <w:rPr>
                <w:rFonts w:hint="eastAsia" w:ascii="宋体" w:hAnsi="宋体" w:eastAsia="宋体" w:cs="Times New Roman"/>
                <w:color w:val="000000" w:themeColor="text1"/>
                <w:szCs w:val="24"/>
                <w:highlight w:val="none"/>
              </w:rPr>
              <w:t>注：</w:t>
            </w:r>
            <w:r>
              <w:rPr>
                <w:rFonts w:hint="eastAsia" w:ascii="Times New Roman" w:hAnsi="Times New Roman" w:eastAsia="新宋体"/>
                <w:color w:val="000000" w:themeColor="text1"/>
                <w:szCs w:val="24"/>
                <w:highlight w:val="none"/>
              </w:rPr>
              <w:t>技术部分评委打分保留至小数点后一位，投标人技术部分最终得分取所有评委的算术平均值。算术平均值得分保留至小数点后两位，第三位“四舍五入”。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55" w:type="dxa"/>
          <w:trHeight w:val="786" w:hRule="atLeast"/>
        </w:trPr>
        <w:tc>
          <w:tcPr>
            <w:tcW w:w="2077" w:type="dxa"/>
            <w:gridSpan w:val="2"/>
            <w:tcBorders>
              <w:top w:val="single" w:color="auto" w:sz="4" w:space="0"/>
              <w:bottom w:val="single" w:color="auto" w:sz="4" w:space="0"/>
              <w:right w:val="single" w:color="auto" w:sz="4" w:space="0"/>
            </w:tcBorders>
            <w:vAlign w:val="center"/>
          </w:tcPr>
          <w:p>
            <w:pPr>
              <w:adjustRightInd w:val="0"/>
              <w:snapToGrid w:val="0"/>
              <w:spacing w:line="500" w:lineRule="atLeast"/>
              <w:rPr>
                <w:rFonts w:ascii="Arial" w:hAnsi="Arial" w:eastAsia="宋体" w:cs="Arial"/>
                <w:color w:val="000000" w:themeColor="text1"/>
                <w:highlight w:val="none"/>
              </w:rPr>
            </w:pPr>
            <w:r>
              <w:rPr>
                <w:rFonts w:hint="eastAsia" w:ascii="Arial" w:hAnsi="Arial" w:eastAsia="宋体" w:cs="Arial"/>
                <w:color w:val="000000" w:themeColor="text1"/>
                <w:highlight w:val="none"/>
              </w:rPr>
              <w:t>评标程序</w:t>
            </w:r>
          </w:p>
        </w:tc>
        <w:tc>
          <w:tcPr>
            <w:tcW w:w="7705" w:type="dxa"/>
            <w:gridSpan w:val="5"/>
            <w:tcBorders>
              <w:top w:val="single" w:color="auto" w:sz="4" w:space="0"/>
              <w:left w:val="single" w:color="auto" w:sz="4" w:space="0"/>
              <w:bottom w:val="single" w:color="auto" w:sz="4" w:space="0"/>
              <w:right w:val="single" w:color="auto" w:sz="4" w:space="0"/>
            </w:tcBorders>
            <w:vAlign w:val="center"/>
          </w:tcPr>
          <w:p>
            <w:pPr>
              <w:rPr>
                <w:rFonts w:ascii="Arial" w:hAnsi="Arial" w:eastAsia="宋体" w:cs="Arial"/>
                <w:color w:val="000000" w:themeColor="text1"/>
                <w:sz w:val="24"/>
                <w:szCs w:val="24"/>
                <w:highlight w:val="none"/>
              </w:rPr>
            </w:pPr>
            <w:r>
              <w:rPr>
                <w:rFonts w:hint="eastAsia" w:ascii="Times New Roman" w:hAnsi="Times New Roman" w:eastAsia="新宋体" w:cs="Times New Roman"/>
                <w:color w:val="000000" w:themeColor="text1"/>
                <w:szCs w:val="24"/>
                <w:highlight w:val="none"/>
              </w:rPr>
              <w:t>评评标委员会首先按照本附表2.1.1～2.1.3对投标人进行初步审查，再对初步审查合格的投标人，按照本附表2.2.2规定的标准和分值进行详细评审。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55" w:type="dxa"/>
          <w:trHeight w:val="786" w:hRule="atLeast"/>
        </w:trPr>
        <w:tc>
          <w:tcPr>
            <w:tcW w:w="2077" w:type="dxa"/>
            <w:gridSpan w:val="2"/>
            <w:tcBorders>
              <w:top w:val="single" w:color="auto" w:sz="4" w:space="0"/>
              <w:right w:val="single" w:color="auto" w:sz="4" w:space="0"/>
            </w:tcBorders>
            <w:vAlign w:val="center"/>
          </w:tcPr>
          <w:p>
            <w:pPr>
              <w:adjustRightInd w:val="0"/>
              <w:snapToGrid w:val="0"/>
              <w:spacing w:line="500" w:lineRule="atLeast"/>
              <w:rPr>
                <w:rFonts w:ascii="Arial" w:hAnsi="Arial" w:eastAsia="宋体" w:cs="Arial"/>
                <w:color w:val="000000" w:themeColor="text1"/>
                <w:highlight w:val="none"/>
              </w:rPr>
            </w:pPr>
            <w:r>
              <w:rPr>
                <w:rFonts w:hint="eastAsia" w:ascii="Arial" w:hAnsi="Arial" w:eastAsia="宋体" w:cs="Arial"/>
                <w:color w:val="000000" w:themeColor="text1"/>
                <w:highlight w:val="none"/>
              </w:rPr>
              <w:t>复核</w:t>
            </w:r>
          </w:p>
        </w:tc>
        <w:tc>
          <w:tcPr>
            <w:tcW w:w="7705" w:type="dxa"/>
            <w:gridSpan w:val="5"/>
            <w:tcBorders>
              <w:top w:val="single" w:color="auto" w:sz="4" w:space="0"/>
              <w:left w:val="single" w:color="auto" w:sz="4" w:space="0"/>
              <w:right w:val="single" w:color="auto" w:sz="4" w:space="0"/>
            </w:tcBorders>
            <w:vAlign w:val="center"/>
          </w:tcPr>
          <w:p>
            <w:pPr>
              <w:rPr>
                <w:rFonts w:ascii="Times New Roman" w:hAnsi="Times New Roman" w:eastAsia="新宋体" w:cs="Times New Roman"/>
                <w:color w:val="000000" w:themeColor="text1"/>
                <w:szCs w:val="24"/>
                <w:highlight w:val="none"/>
              </w:rPr>
            </w:pPr>
            <w:r>
              <w:rPr>
                <w:rFonts w:hint="eastAsia" w:ascii="Times New Roman" w:hAnsi="Times New Roman" w:eastAsia="新宋体" w:cs="Times New Roman"/>
                <w:color w:val="000000" w:themeColor="text1"/>
                <w:szCs w:val="24"/>
                <w:highlight w:val="none"/>
              </w:rPr>
              <w:t>招标人有权取消虚假应标的投标人的中标资格并没收投标保证金，如采用虚假成功案例投标、投标文件中的技术参数与官方公开的技术参数复核不符等。</w:t>
            </w:r>
          </w:p>
        </w:tc>
      </w:tr>
    </w:tbl>
    <w:p>
      <w:pPr>
        <w:widowControl/>
        <w:spacing w:line="300" w:lineRule="auto"/>
        <w:jc w:val="center"/>
        <w:outlineLvl w:val="1"/>
        <w:rPr>
          <w:rFonts w:ascii="Times New Roman" w:hAnsi="Times New Roman" w:eastAsia="新宋体" w:cs="Times New Roman"/>
          <w:b/>
          <w:color w:val="000000" w:themeColor="text1"/>
          <w:sz w:val="28"/>
          <w:szCs w:val="28"/>
          <w:highlight w:val="none"/>
        </w:rPr>
      </w:pPr>
      <w:bookmarkStart w:id="117" w:name="_Toc450645164"/>
      <w:bookmarkStart w:id="118" w:name="_Toc481146277"/>
      <w:bookmarkStart w:id="119" w:name="_Toc26591"/>
    </w:p>
    <w:p>
      <w:pPr>
        <w:widowControl/>
        <w:spacing w:line="300" w:lineRule="auto"/>
        <w:jc w:val="center"/>
        <w:outlineLvl w:val="1"/>
        <w:rPr>
          <w:rFonts w:ascii="Times New Roman" w:hAnsi="Times New Roman" w:eastAsia="新宋体" w:cs="Times New Roman"/>
          <w:b/>
          <w:color w:val="000000" w:themeColor="text1"/>
          <w:sz w:val="28"/>
          <w:szCs w:val="28"/>
          <w:highlight w:val="none"/>
        </w:rPr>
      </w:pPr>
      <w:r>
        <w:rPr>
          <w:rFonts w:ascii="Times New Roman" w:hAnsi="Times New Roman" w:eastAsia="新宋体" w:cs="Times New Roman"/>
          <w:b/>
          <w:color w:val="000000" w:themeColor="text1"/>
          <w:sz w:val="28"/>
          <w:szCs w:val="28"/>
          <w:highlight w:val="none"/>
        </w:rPr>
        <w:br w:type="page"/>
      </w:r>
    </w:p>
    <w:p>
      <w:pPr>
        <w:widowControl/>
        <w:spacing w:line="300" w:lineRule="auto"/>
        <w:jc w:val="center"/>
        <w:outlineLvl w:val="1"/>
        <w:rPr>
          <w:rFonts w:ascii="Times New Roman" w:hAnsi="Times New Roman" w:eastAsia="新宋体" w:cs="Times New Roman"/>
          <w:b/>
          <w:color w:val="000000" w:themeColor="text1"/>
          <w:sz w:val="28"/>
          <w:szCs w:val="28"/>
          <w:highlight w:val="none"/>
        </w:rPr>
      </w:pPr>
    </w:p>
    <w:p>
      <w:pPr>
        <w:widowControl/>
        <w:spacing w:line="300" w:lineRule="auto"/>
        <w:jc w:val="center"/>
        <w:outlineLvl w:val="1"/>
        <w:rPr>
          <w:rFonts w:ascii="Times New Roman" w:hAnsi="Times New Roman" w:eastAsia="新宋体" w:cs="Times New Roman"/>
          <w:b/>
          <w:color w:val="000000" w:themeColor="text1"/>
          <w:sz w:val="28"/>
          <w:szCs w:val="28"/>
          <w:highlight w:val="none"/>
        </w:rPr>
      </w:pPr>
    </w:p>
    <w:p>
      <w:pPr>
        <w:widowControl/>
        <w:spacing w:line="300" w:lineRule="auto"/>
        <w:jc w:val="center"/>
        <w:outlineLvl w:val="1"/>
        <w:rPr>
          <w:rFonts w:ascii="Times New Roman" w:hAnsi="Times New Roman" w:eastAsia="新宋体" w:cs="Times New Roman"/>
          <w:b/>
          <w:color w:val="000000" w:themeColor="text1"/>
          <w:sz w:val="28"/>
          <w:szCs w:val="28"/>
          <w:highlight w:val="none"/>
        </w:rPr>
      </w:pPr>
      <w:r>
        <w:rPr>
          <w:rFonts w:hint="eastAsia" w:ascii="Times New Roman" w:hAnsi="Times New Roman" w:eastAsia="新宋体" w:cs="Times New Roman"/>
          <w:b/>
          <w:color w:val="000000" w:themeColor="text1"/>
          <w:sz w:val="28"/>
          <w:szCs w:val="28"/>
          <w:highlight w:val="none"/>
        </w:rPr>
        <w:t>第二节</w:t>
      </w:r>
      <w:r>
        <w:rPr>
          <w:rFonts w:ascii="Times New Roman" w:hAnsi="Times New Roman" w:eastAsia="新宋体" w:cs="Times New Roman"/>
          <w:b/>
          <w:color w:val="000000" w:themeColor="text1"/>
          <w:sz w:val="28"/>
          <w:szCs w:val="28"/>
          <w:highlight w:val="none"/>
        </w:rPr>
        <w:t>　评标方法</w:t>
      </w:r>
      <w:bookmarkEnd w:id="117"/>
    </w:p>
    <w:p>
      <w:pPr>
        <w:widowControl/>
        <w:spacing w:line="300" w:lineRule="auto"/>
        <w:ind w:firstLine="480" w:firstLineChars="200"/>
        <w:rPr>
          <w:rFonts w:ascii="Times New Roman" w:hAnsi="Times New Roman" w:eastAsia="新宋体" w:cs="Times New Roman"/>
          <w:color w:val="000000" w:themeColor="text1"/>
          <w:sz w:val="24"/>
          <w:szCs w:val="24"/>
          <w:highlight w:val="none"/>
        </w:rPr>
      </w:pPr>
    </w:p>
    <w:p>
      <w:pPr>
        <w:widowControl/>
        <w:spacing w:line="300" w:lineRule="auto"/>
        <w:ind w:firstLine="482" w:firstLineChars="200"/>
        <w:outlineLvl w:val="2"/>
        <w:rPr>
          <w:rFonts w:ascii="Times New Roman" w:hAnsi="Times New Roman" w:eastAsia="新宋体" w:cs="Times New Roman"/>
          <w:b/>
          <w:color w:val="000000" w:themeColor="text1"/>
          <w:sz w:val="24"/>
          <w:szCs w:val="24"/>
          <w:highlight w:val="none"/>
        </w:rPr>
      </w:pPr>
      <w:bookmarkStart w:id="120" w:name="_Toc450645165"/>
      <w:r>
        <w:rPr>
          <w:rFonts w:hint="eastAsia" w:ascii="Times New Roman" w:hAnsi="Times New Roman" w:eastAsia="新宋体" w:cs="Times New Roman"/>
          <w:b/>
          <w:color w:val="000000" w:themeColor="text1"/>
          <w:sz w:val="24"/>
          <w:szCs w:val="24"/>
          <w:highlight w:val="none"/>
        </w:rPr>
        <w:t>1．评标方法</w:t>
      </w:r>
      <w:bookmarkEnd w:id="120"/>
    </w:p>
    <w:p>
      <w:pPr>
        <w:widowControl/>
        <w:spacing w:line="300" w:lineRule="auto"/>
        <w:ind w:firstLine="480" w:firstLineChars="200"/>
        <w:rPr>
          <w:rFonts w:ascii="Times New Roman" w:hAnsi="Times New Roman" w:eastAsia="新宋体" w:cs="Times New Roman"/>
          <w:color w:val="000000" w:themeColor="text1"/>
          <w:sz w:val="24"/>
          <w:szCs w:val="24"/>
          <w:highlight w:val="none"/>
        </w:rPr>
      </w:pPr>
      <w:r>
        <w:rPr>
          <w:rFonts w:hint="eastAsia" w:ascii="Times New Roman" w:hAnsi="Times New Roman" w:eastAsia="新宋体" w:cs="Times New Roman"/>
          <w:color w:val="000000" w:themeColor="text1"/>
          <w:sz w:val="24"/>
          <w:szCs w:val="24"/>
          <w:highlight w:val="none"/>
        </w:rPr>
        <w:t>评标委员会对满足招标文件实质性要求的投标文件，按照本章第2.2款规定的评分标准进行打分，并按各投标人总得分由高到低顺序推荐中标候选人，或根据招标人授权直接确定中标人，但投标报价低于其成本的除外。总得分相等时，以投标总报价低的优先；投标总报价也相等时，以商务部分评分高的优先；商务部分评分也相等时，技术部分评分高的优先；技术部分评分也相等时，由评标委员会投票表决确定中标候选人排位顺序。招标人不得在中标候选人之外确定中标人。</w:t>
      </w:r>
    </w:p>
    <w:p>
      <w:pPr>
        <w:widowControl/>
        <w:spacing w:line="300" w:lineRule="auto"/>
        <w:ind w:firstLine="482" w:firstLineChars="200"/>
        <w:outlineLvl w:val="2"/>
        <w:rPr>
          <w:rFonts w:ascii="Times New Roman" w:hAnsi="Times New Roman" w:eastAsia="新宋体" w:cs="Times New Roman"/>
          <w:b/>
          <w:color w:val="000000" w:themeColor="text1"/>
          <w:sz w:val="24"/>
          <w:szCs w:val="24"/>
          <w:highlight w:val="none"/>
        </w:rPr>
      </w:pPr>
      <w:bookmarkStart w:id="121" w:name="_Toc450645166"/>
      <w:bookmarkStart w:id="122" w:name="_Toc419964545"/>
      <w:r>
        <w:rPr>
          <w:rFonts w:hint="eastAsia" w:ascii="Times New Roman" w:hAnsi="Times New Roman" w:eastAsia="新宋体" w:cs="Times New Roman"/>
          <w:b/>
          <w:color w:val="000000" w:themeColor="text1"/>
          <w:sz w:val="24"/>
          <w:szCs w:val="24"/>
          <w:highlight w:val="none"/>
        </w:rPr>
        <w:t>2. 评审标准</w:t>
      </w:r>
      <w:bookmarkEnd w:id="121"/>
      <w:bookmarkEnd w:id="122"/>
    </w:p>
    <w:p>
      <w:pPr>
        <w:widowControl/>
        <w:spacing w:line="300" w:lineRule="auto"/>
        <w:ind w:firstLine="480" w:firstLineChars="200"/>
        <w:rPr>
          <w:rFonts w:ascii="Times New Roman" w:hAnsi="Times New Roman" w:eastAsia="新宋体" w:cs="Times New Roman"/>
          <w:color w:val="000000" w:themeColor="text1"/>
          <w:sz w:val="24"/>
          <w:szCs w:val="24"/>
          <w:highlight w:val="none"/>
        </w:rPr>
      </w:pPr>
      <w:bookmarkStart w:id="123" w:name="_Toc419964546"/>
      <w:r>
        <w:rPr>
          <w:rFonts w:hint="eastAsia" w:ascii="Times New Roman" w:hAnsi="Times New Roman" w:eastAsia="新宋体" w:cs="Times New Roman"/>
          <w:color w:val="000000" w:themeColor="text1"/>
          <w:sz w:val="24"/>
          <w:szCs w:val="24"/>
          <w:highlight w:val="none"/>
        </w:rPr>
        <w:t>2.1 初步评审标准</w:t>
      </w:r>
      <w:bookmarkEnd w:id="123"/>
    </w:p>
    <w:p>
      <w:pPr>
        <w:widowControl/>
        <w:spacing w:line="300" w:lineRule="auto"/>
        <w:ind w:firstLine="480" w:firstLineChars="200"/>
        <w:rPr>
          <w:rFonts w:ascii="Times New Roman" w:hAnsi="Times New Roman" w:eastAsia="新宋体" w:cs="Times New Roman"/>
          <w:b/>
          <w:color w:val="000000" w:themeColor="text1"/>
          <w:sz w:val="24"/>
          <w:szCs w:val="24"/>
          <w:highlight w:val="none"/>
        </w:rPr>
      </w:pPr>
      <w:r>
        <w:rPr>
          <w:rFonts w:hint="eastAsia" w:ascii="Times New Roman" w:hAnsi="Times New Roman" w:eastAsia="新宋体" w:cs="Times New Roman"/>
          <w:color w:val="000000" w:themeColor="text1"/>
          <w:sz w:val="24"/>
          <w:szCs w:val="24"/>
          <w:highlight w:val="none"/>
        </w:rPr>
        <w:t>2.1.1形式评审标准：见</w:t>
      </w:r>
      <w:r>
        <w:rPr>
          <w:rFonts w:hint="eastAsia" w:ascii="Times New Roman" w:hAnsi="Times New Roman" w:eastAsia="新宋体" w:cs="Times New Roman"/>
          <w:b/>
          <w:color w:val="000000" w:themeColor="text1"/>
          <w:sz w:val="24"/>
          <w:szCs w:val="24"/>
          <w:highlight w:val="none"/>
        </w:rPr>
        <w:t>评标方法前附表。</w:t>
      </w:r>
    </w:p>
    <w:p>
      <w:pPr>
        <w:widowControl/>
        <w:spacing w:line="300" w:lineRule="auto"/>
        <w:ind w:firstLine="480" w:firstLineChars="200"/>
        <w:rPr>
          <w:rFonts w:ascii="Times New Roman" w:hAnsi="Times New Roman" w:eastAsia="新宋体" w:cs="Times New Roman"/>
          <w:color w:val="000000" w:themeColor="text1"/>
          <w:sz w:val="24"/>
          <w:szCs w:val="24"/>
          <w:highlight w:val="none"/>
        </w:rPr>
      </w:pPr>
      <w:r>
        <w:rPr>
          <w:rFonts w:hint="eastAsia" w:ascii="Times New Roman" w:hAnsi="Times New Roman" w:eastAsia="新宋体" w:cs="Times New Roman"/>
          <w:color w:val="000000" w:themeColor="text1"/>
          <w:sz w:val="24"/>
          <w:szCs w:val="24"/>
          <w:highlight w:val="none"/>
        </w:rPr>
        <w:t>2.1.2资格评审标准：见</w:t>
      </w:r>
      <w:r>
        <w:rPr>
          <w:rFonts w:hint="eastAsia" w:ascii="Times New Roman" w:hAnsi="Times New Roman" w:eastAsia="新宋体" w:cs="Times New Roman"/>
          <w:b/>
          <w:color w:val="000000" w:themeColor="text1"/>
          <w:sz w:val="24"/>
          <w:szCs w:val="24"/>
          <w:highlight w:val="none"/>
        </w:rPr>
        <w:t>评标方法前附表</w:t>
      </w:r>
      <w:r>
        <w:rPr>
          <w:rFonts w:hint="eastAsia" w:ascii="Times New Roman" w:hAnsi="Times New Roman" w:eastAsia="新宋体" w:cs="Times New Roman"/>
          <w:color w:val="000000" w:themeColor="text1"/>
          <w:sz w:val="24"/>
          <w:szCs w:val="24"/>
          <w:highlight w:val="none"/>
        </w:rPr>
        <w:t>。</w:t>
      </w:r>
    </w:p>
    <w:p>
      <w:pPr>
        <w:widowControl/>
        <w:spacing w:line="300" w:lineRule="auto"/>
        <w:ind w:firstLine="480" w:firstLineChars="200"/>
        <w:rPr>
          <w:rFonts w:ascii="Times New Roman" w:hAnsi="Times New Roman" w:eastAsia="新宋体" w:cs="Times New Roman"/>
          <w:color w:val="000000" w:themeColor="text1"/>
          <w:sz w:val="24"/>
          <w:szCs w:val="24"/>
          <w:highlight w:val="none"/>
        </w:rPr>
      </w:pPr>
      <w:r>
        <w:rPr>
          <w:rFonts w:hint="eastAsia" w:ascii="Times New Roman" w:hAnsi="Times New Roman" w:eastAsia="新宋体" w:cs="Times New Roman"/>
          <w:color w:val="000000" w:themeColor="text1"/>
          <w:sz w:val="24"/>
          <w:szCs w:val="24"/>
          <w:highlight w:val="none"/>
        </w:rPr>
        <w:t>2.1.3 响应性评审标准：见</w:t>
      </w:r>
      <w:r>
        <w:rPr>
          <w:rFonts w:hint="eastAsia" w:ascii="Times New Roman" w:hAnsi="Times New Roman" w:eastAsia="新宋体" w:cs="Times New Roman"/>
          <w:b/>
          <w:color w:val="000000" w:themeColor="text1"/>
          <w:sz w:val="24"/>
          <w:szCs w:val="24"/>
          <w:highlight w:val="none"/>
        </w:rPr>
        <w:t>评标方法前附表。</w:t>
      </w:r>
    </w:p>
    <w:p>
      <w:pPr>
        <w:widowControl/>
        <w:spacing w:line="300" w:lineRule="auto"/>
        <w:ind w:firstLine="480" w:firstLineChars="200"/>
        <w:rPr>
          <w:rFonts w:ascii="Times New Roman" w:hAnsi="Times New Roman" w:eastAsia="新宋体" w:cs="Times New Roman"/>
          <w:color w:val="000000" w:themeColor="text1"/>
          <w:sz w:val="24"/>
          <w:szCs w:val="24"/>
          <w:highlight w:val="none"/>
        </w:rPr>
      </w:pPr>
      <w:bookmarkStart w:id="124" w:name="_Toc419964547"/>
      <w:r>
        <w:rPr>
          <w:rFonts w:hint="eastAsia" w:ascii="Times New Roman" w:hAnsi="Times New Roman" w:eastAsia="新宋体" w:cs="Times New Roman"/>
          <w:color w:val="000000" w:themeColor="text1"/>
          <w:sz w:val="24"/>
          <w:szCs w:val="24"/>
          <w:highlight w:val="none"/>
        </w:rPr>
        <w:t>2.2 分值构成与评分标准</w:t>
      </w:r>
      <w:bookmarkEnd w:id="124"/>
    </w:p>
    <w:p>
      <w:pPr>
        <w:widowControl/>
        <w:spacing w:line="300" w:lineRule="auto"/>
        <w:ind w:firstLine="480" w:firstLineChars="200"/>
        <w:rPr>
          <w:rFonts w:ascii="Times New Roman" w:hAnsi="Times New Roman" w:eastAsia="新宋体" w:cs="Times New Roman"/>
          <w:color w:val="000000" w:themeColor="text1"/>
          <w:sz w:val="24"/>
          <w:szCs w:val="24"/>
          <w:highlight w:val="none"/>
        </w:rPr>
      </w:pPr>
      <w:r>
        <w:rPr>
          <w:rFonts w:hint="eastAsia" w:ascii="Times New Roman" w:hAnsi="Times New Roman" w:eastAsia="新宋体" w:cs="Times New Roman"/>
          <w:color w:val="000000" w:themeColor="text1"/>
          <w:sz w:val="24"/>
          <w:szCs w:val="24"/>
          <w:highlight w:val="none"/>
        </w:rPr>
        <w:t>2.2.1分值构成（100分）：</w:t>
      </w:r>
    </w:p>
    <w:p>
      <w:pPr>
        <w:widowControl/>
        <w:spacing w:line="300" w:lineRule="auto"/>
        <w:ind w:firstLine="480" w:firstLineChars="200"/>
        <w:rPr>
          <w:rFonts w:ascii="Times New Roman" w:hAnsi="Times New Roman" w:eastAsia="新宋体" w:cs="Times New Roman"/>
          <w:color w:val="000000" w:themeColor="text1"/>
          <w:sz w:val="24"/>
          <w:szCs w:val="24"/>
          <w:highlight w:val="none"/>
        </w:rPr>
      </w:pPr>
      <w:r>
        <w:rPr>
          <w:rFonts w:hint="eastAsia" w:ascii="Times New Roman" w:hAnsi="Times New Roman" w:eastAsia="新宋体" w:cs="Times New Roman"/>
          <w:color w:val="000000" w:themeColor="text1"/>
          <w:sz w:val="24"/>
          <w:szCs w:val="24"/>
          <w:highlight w:val="none"/>
        </w:rPr>
        <w:t>报价部分（65分）；</w:t>
      </w:r>
    </w:p>
    <w:p>
      <w:pPr>
        <w:widowControl/>
        <w:spacing w:line="300" w:lineRule="auto"/>
        <w:ind w:firstLine="480" w:firstLineChars="200"/>
        <w:rPr>
          <w:rFonts w:ascii="Times New Roman" w:hAnsi="Times New Roman" w:eastAsia="新宋体" w:cs="Times New Roman"/>
          <w:color w:val="000000" w:themeColor="text1"/>
          <w:sz w:val="24"/>
          <w:szCs w:val="24"/>
          <w:highlight w:val="none"/>
        </w:rPr>
      </w:pPr>
      <w:r>
        <w:rPr>
          <w:rFonts w:hint="eastAsia" w:ascii="Times New Roman" w:hAnsi="Times New Roman" w:eastAsia="新宋体" w:cs="Times New Roman"/>
          <w:color w:val="000000" w:themeColor="text1"/>
          <w:sz w:val="24"/>
          <w:szCs w:val="24"/>
          <w:highlight w:val="none"/>
        </w:rPr>
        <w:t>商务部分（24分）；</w:t>
      </w:r>
    </w:p>
    <w:p>
      <w:pPr>
        <w:widowControl/>
        <w:spacing w:line="300" w:lineRule="auto"/>
        <w:ind w:firstLine="480" w:firstLineChars="200"/>
        <w:rPr>
          <w:rFonts w:ascii="Times New Roman" w:hAnsi="Times New Roman" w:eastAsia="新宋体" w:cs="Times New Roman"/>
          <w:color w:val="000000" w:themeColor="text1"/>
          <w:sz w:val="24"/>
          <w:szCs w:val="24"/>
          <w:highlight w:val="none"/>
        </w:rPr>
      </w:pPr>
      <w:r>
        <w:rPr>
          <w:rFonts w:hint="eastAsia" w:ascii="Times New Roman" w:hAnsi="Times New Roman" w:eastAsia="新宋体" w:cs="Times New Roman"/>
          <w:color w:val="000000" w:themeColor="text1"/>
          <w:sz w:val="24"/>
          <w:szCs w:val="24"/>
          <w:highlight w:val="none"/>
        </w:rPr>
        <w:t>技术部分（11分）。</w:t>
      </w:r>
    </w:p>
    <w:p>
      <w:pPr>
        <w:widowControl/>
        <w:spacing w:line="300" w:lineRule="auto"/>
        <w:ind w:firstLine="480" w:firstLineChars="200"/>
        <w:rPr>
          <w:rFonts w:ascii="Times New Roman" w:hAnsi="Times New Roman" w:eastAsia="新宋体" w:cs="Times New Roman"/>
          <w:color w:val="000000" w:themeColor="text1"/>
          <w:sz w:val="24"/>
          <w:szCs w:val="24"/>
          <w:highlight w:val="none"/>
        </w:rPr>
      </w:pPr>
      <w:r>
        <w:rPr>
          <w:rFonts w:hint="eastAsia" w:ascii="Times New Roman" w:hAnsi="Times New Roman" w:eastAsia="新宋体" w:cs="Times New Roman"/>
          <w:color w:val="000000" w:themeColor="text1"/>
          <w:sz w:val="24"/>
          <w:szCs w:val="24"/>
          <w:highlight w:val="none"/>
        </w:rPr>
        <w:t>2.2.2 评分标准</w:t>
      </w:r>
    </w:p>
    <w:p>
      <w:pPr>
        <w:widowControl/>
        <w:spacing w:line="300" w:lineRule="auto"/>
        <w:ind w:firstLine="480" w:firstLineChars="200"/>
        <w:rPr>
          <w:rFonts w:ascii="Times New Roman" w:hAnsi="Times New Roman" w:eastAsia="新宋体" w:cs="Times New Roman"/>
          <w:color w:val="000000" w:themeColor="text1"/>
          <w:sz w:val="24"/>
          <w:szCs w:val="24"/>
          <w:highlight w:val="none"/>
        </w:rPr>
      </w:pPr>
      <w:r>
        <w:rPr>
          <w:rFonts w:ascii="Times New Roman" w:hAnsi="Times New Roman" w:eastAsia="新宋体" w:cs="Times New Roman"/>
          <w:color w:val="000000" w:themeColor="text1"/>
          <w:sz w:val="24"/>
          <w:szCs w:val="24"/>
          <w:highlight w:val="none"/>
        </w:rPr>
        <w:t>投标</w:t>
      </w:r>
      <w:r>
        <w:rPr>
          <w:rFonts w:hint="eastAsia" w:ascii="Times New Roman" w:hAnsi="Times New Roman" w:eastAsia="新宋体" w:cs="Times New Roman"/>
          <w:color w:val="000000" w:themeColor="text1"/>
          <w:sz w:val="24"/>
          <w:szCs w:val="24"/>
          <w:highlight w:val="none"/>
        </w:rPr>
        <w:t>总</w:t>
      </w:r>
      <w:r>
        <w:rPr>
          <w:rFonts w:ascii="Times New Roman" w:hAnsi="Times New Roman" w:eastAsia="新宋体" w:cs="Times New Roman"/>
          <w:color w:val="000000" w:themeColor="text1"/>
          <w:sz w:val="24"/>
          <w:szCs w:val="24"/>
          <w:highlight w:val="none"/>
        </w:rPr>
        <w:t>报价评分标准</w:t>
      </w:r>
      <w:r>
        <w:rPr>
          <w:rFonts w:hint="eastAsia" w:ascii="Times New Roman" w:hAnsi="Times New Roman" w:eastAsia="新宋体" w:cs="Times New Roman"/>
          <w:color w:val="000000" w:themeColor="text1"/>
          <w:sz w:val="24"/>
          <w:szCs w:val="24"/>
          <w:highlight w:val="none"/>
        </w:rPr>
        <w:t>：见评标方法前附表。</w:t>
      </w:r>
    </w:p>
    <w:p>
      <w:pPr>
        <w:widowControl/>
        <w:spacing w:line="300" w:lineRule="auto"/>
        <w:ind w:firstLine="482" w:firstLineChars="200"/>
        <w:outlineLvl w:val="2"/>
        <w:rPr>
          <w:rFonts w:ascii="Times New Roman" w:hAnsi="Times New Roman" w:eastAsia="新宋体" w:cs="Times New Roman"/>
          <w:b/>
          <w:color w:val="000000" w:themeColor="text1"/>
          <w:sz w:val="24"/>
          <w:szCs w:val="24"/>
          <w:highlight w:val="none"/>
        </w:rPr>
      </w:pPr>
      <w:bookmarkStart w:id="125" w:name="_Toc419964548"/>
      <w:bookmarkStart w:id="126" w:name="_Toc450645167"/>
      <w:r>
        <w:rPr>
          <w:rFonts w:hint="eastAsia" w:ascii="Times New Roman" w:hAnsi="Times New Roman" w:eastAsia="新宋体" w:cs="Times New Roman"/>
          <w:b/>
          <w:color w:val="000000" w:themeColor="text1"/>
          <w:sz w:val="24"/>
          <w:szCs w:val="24"/>
          <w:highlight w:val="none"/>
        </w:rPr>
        <w:t>3. 评标程序</w:t>
      </w:r>
      <w:bookmarkEnd w:id="125"/>
      <w:bookmarkEnd w:id="126"/>
    </w:p>
    <w:p>
      <w:pPr>
        <w:widowControl/>
        <w:spacing w:line="300" w:lineRule="auto"/>
        <w:ind w:firstLine="480" w:firstLineChars="200"/>
        <w:rPr>
          <w:rFonts w:ascii="Times New Roman" w:hAnsi="Times New Roman" w:eastAsia="新宋体" w:cs="Times New Roman"/>
          <w:color w:val="000000" w:themeColor="text1"/>
          <w:sz w:val="24"/>
          <w:szCs w:val="24"/>
          <w:highlight w:val="none"/>
        </w:rPr>
      </w:pPr>
      <w:bookmarkStart w:id="127" w:name="_Toc419964549"/>
      <w:r>
        <w:rPr>
          <w:rFonts w:hint="eastAsia" w:ascii="Times New Roman" w:hAnsi="Times New Roman" w:eastAsia="新宋体" w:cs="Times New Roman"/>
          <w:color w:val="000000" w:themeColor="text1"/>
          <w:sz w:val="24"/>
          <w:szCs w:val="24"/>
          <w:highlight w:val="none"/>
        </w:rPr>
        <w:t>3.1 初步评审</w:t>
      </w:r>
      <w:bookmarkEnd w:id="127"/>
    </w:p>
    <w:p>
      <w:pPr>
        <w:widowControl/>
        <w:spacing w:line="300" w:lineRule="auto"/>
        <w:ind w:firstLine="480" w:firstLineChars="200"/>
        <w:rPr>
          <w:rFonts w:ascii="Times New Roman" w:hAnsi="Times New Roman" w:eastAsia="新宋体" w:cs="Times New Roman"/>
          <w:color w:val="000000" w:themeColor="text1"/>
          <w:sz w:val="24"/>
          <w:szCs w:val="24"/>
          <w:highlight w:val="none"/>
        </w:rPr>
      </w:pPr>
      <w:r>
        <w:rPr>
          <w:rFonts w:hint="eastAsia" w:ascii="Times New Roman" w:hAnsi="Times New Roman" w:eastAsia="新宋体" w:cs="Times New Roman"/>
          <w:color w:val="000000" w:themeColor="text1"/>
          <w:sz w:val="24"/>
          <w:szCs w:val="24"/>
          <w:highlight w:val="none"/>
        </w:rPr>
        <w:t>3.1.1评标委员会可以要求投标人提交第二章第一节“投标人须知前附表”第2.3条投标人资格要求规定的有关证件的原件，以便核验。评标委员会依据本章第一节</w:t>
      </w:r>
      <w:r>
        <w:rPr>
          <w:rFonts w:hint="eastAsia" w:ascii="Times New Roman" w:hAnsi="Times New Roman" w:eastAsia="新宋体" w:cs="Times New Roman"/>
          <w:b/>
          <w:color w:val="000000" w:themeColor="text1"/>
          <w:sz w:val="24"/>
          <w:szCs w:val="24"/>
          <w:highlight w:val="none"/>
        </w:rPr>
        <w:t>评标方法前附表</w:t>
      </w:r>
      <w:r>
        <w:rPr>
          <w:rFonts w:hint="eastAsia" w:ascii="Times New Roman" w:hAnsi="Times New Roman" w:eastAsia="新宋体" w:cs="Times New Roman"/>
          <w:color w:val="000000" w:themeColor="text1"/>
          <w:sz w:val="24"/>
          <w:szCs w:val="24"/>
          <w:highlight w:val="none"/>
        </w:rPr>
        <w:t>2.1.1、2.1.2、2.1.3款规定的标准对投标文件进行初步评审，有一项不符合评审标准的，其投标将被否决。</w:t>
      </w:r>
    </w:p>
    <w:p>
      <w:pPr>
        <w:widowControl/>
        <w:spacing w:line="300" w:lineRule="auto"/>
        <w:ind w:firstLine="480" w:firstLineChars="200"/>
        <w:rPr>
          <w:rFonts w:ascii="Times New Roman" w:hAnsi="Times New Roman" w:eastAsia="新宋体" w:cs="Times New Roman"/>
          <w:color w:val="000000" w:themeColor="text1"/>
          <w:sz w:val="24"/>
          <w:szCs w:val="24"/>
          <w:highlight w:val="none"/>
        </w:rPr>
      </w:pPr>
      <w:r>
        <w:rPr>
          <w:rFonts w:hint="eastAsia" w:ascii="Times New Roman" w:hAnsi="Times New Roman" w:eastAsia="新宋体" w:cs="Times New Roman"/>
          <w:color w:val="000000" w:themeColor="text1"/>
          <w:sz w:val="24"/>
          <w:szCs w:val="24"/>
          <w:highlight w:val="none"/>
        </w:rPr>
        <w:t>3.1.2 投标人有以下情形之一的，其投标将被否决：</w:t>
      </w:r>
    </w:p>
    <w:p>
      <w:pPr>
        <w:widowControl/>
        <w:spacing w:line="300" w:lineRule="auto"/>
        <w:ind w:firstLine="480" w:firstLineChars="200"/>
        <w:rPr>
          <w:rFonts w:ascii="Times New Roman" w:hAnsi="Times New Roman" w:eastAsia="新宋体" w:cs="Times New Roman"/>
          <w:color w:val="000000" w:themeColor="text1"/>
          <w:sz w:val="24"/>
          <w:szCs w:val="24"/>
          <w:highlight w:val="none"/>
        </w:rPr>
      </w:pPr>
      <w:r>
        <w:rPr>
          <w:rFonts w:hint="eastAsia" w:ascii="Times New Roman" w:hAnsi="Times New Roman" w:eastAsia="新宋体" w:cs="Times New Roman"/>
          <w:color w:val="000000" w:themeColor="text1"/>
          <w:sz w:val="24"/>
          <w:szCs w:val="24"/>
          <w:highlight w:val="none"/>
        </w:rPr>
        <w:t>（1）第二章第二节《投标人须知》第2.4条所规定的任何一种情形的；</w:t>
      </w:r>
    </w:p>
    <w:p>
      <w:pPr>
        <w:widowControl/>
        <w:spacing w:line="300" w:lineRule="auto"/>
        <w:ind w:firstLine="480" w:firstLineChars="200"/>
        <w:rPr>
          <w:rFonts w:ascii="Times New Roman" w:hAnsi="Times New Roman" w:eastAsia="新宋体" w:cs="Times New Roman"/>
          <w:color w:val="000000" w:themeColor="text1"/>
          <w:sz w:val="24"/>
          <w:szCs w:val="24"/>
          <w:highlight w:val="none"/>
        </w:rPr>
      </w:pPr>
      <w:r>
        <w:rPr>
          <w:rFonts w:hint="eastAsia" w:ascii="Times New Roman" w:hAnsi="Times New Roman" w:eastAsia="新宋体" w:cs="Times New Roman"/>
          <w:color w:val="000000" w:themeColor="text1"/>
          <w:sz w:val="24"/>
          <w:szCs w:val="24"/>
          <w:highlight w:val="none"/>
        </w:rPr>
        <w:t>（2）串通投标或弄虚作假或有其他违法行为的；</w:t>
      </w:r>
    </w:p>
    <w:p>
      <w:pPr>
        <w:widowControl/>
        <w:spacing w:line="300" w:lineRule="auto"/>
        <w:ind w:firstLine="480" w:firstLineChars="200"/>
        <w:rPr>
          <w:rFonts w:ascii="Times New Roman" w:hAnsi="Times New Roman" w:eastAsia="新宋体" w:cs="Times New Roman"/>
          <w:color w:val="000000" w:themeColor="text1"/>
          <w:sz w:val="24"/>
          <w:szCs w:val="24"/>
          <w:highlight w:val="none"/>
        </w:rPr>
      </w:pPr>
      <w:r>
        <w:rPr>
          <w:rFonts w:hint="eastAsia" w:ascii="Times New Roman" w:hAnsi="Times New Roman" w:eastAsia="新宋体" w:cs="Times New Roman"/>
          <w:color w:val="000000" w:themeColor="text1"/>
          <w:sz w:val="24"/>
          <w:szCs w:val="24"/>
          <w:highlight w:val="none"/>
        </w:rPr>
        <w:t>（3）不按评标委员会要求澄清、说明或补正的。</w:t>
      </w:r>
    </w:p>
    <w:p>
      <w:pPr>
        <w:widowControl/>
        <w:spacing w:line="300" w:lineRule="auto"/>
        <w:ind w:firstLine="480" w:firstLineChars="200"/>
        <w:rPr>
          <w:rFonts w:ascii="Times New Roman" w:hAnsi="Times New Roman" w:eastAsia="新宋体" w:cs="Times New Roman"/>
          <w:color w:val="000000" w:themeColor="text1"/>
          <w:sz w:val="24"/>
          <w:szCs w:val="24"/>
          <w:highlight w:val="none"/>
        </w:rPr>
      </w:pPr>
      <w:r>
        <w:rPr>
          <w:rFonts w:hint="eastAsia" w:ascii="Times New Roman" w:hAnsi="Times New Roman" w:eastAsia="新宋体" w:cs="Times New Roman"/>
          <w:color w:val="000000" w:themeColor="text1"/>
          <w:sz w:val="24"/>
          <w:szCs w:val="24"/>
          <w:highlight w:val="none"/>
        </w:rPr>
        <w:t>3.1.3投标报价有算术错误的，评标委员会按以下原则对投标报价进行修正，修正的价格经投标人书面确认后具有约束力。投标人不接受修正价格的，其投标将被否决。</w:t>
      </w:r>
    </w:p>
    <w:p>
      <w:pPr>
        <w:widowControl/>
        <w:spacing w:line="300" w:lineRule="auto"/>
        <w:ind w:firstLine="480" w:firstLineChars="200"/>
        <w:rPr>
          <w:rFonts w:ascii="Times New Roman" w:hAnsi="Times New Roman" w:eastAsia="新宋体" w:cs="Times New Roman"/>
          <w:color w:val="000000" w:themeColor="text1"/>
          <w:sz w:val="24"/>
          <w:szCs w:val="24"/>
          <w:highlight w:val="none"/>
        </w:rPr>
      </w:pPr>
      <w:r>
        <w:rPr>
          <w:rFonts w:hint="eastAsia" w:ascii="Times New Roman" w:hAnsi="Times New Roman" w:eastAsia="新宋体" w:cs="Times New Roman"/>
          <w:color w:val="000000" w:themeColor="text1"/>
          <w:sz w:val="24"/>
          <w:szCs w:val="24"/>
          <w:highlight w:val="none"/>
        </w:rPr>
        <w:t>（1）投标文件中的大写金额与小写金额不一致的，以大写金额为准；</w:t>
      </w:r>
    </w:p>
    <w:p>
      <w:pPr>
        <w:widowControl/>
        <w:spacing w:line="300" w:lineRule="auto"/>
        <w:ind w:firstLine="480" w:firstLineChars="200"/>
        <w:rPr>
          <w:rFonts w:ascii="Times New Roman" w:hAnsi="Times New Roman" w:eastAsia="新宋体" w:cs="Times New Roman"/>
          <w:color w:val="000000" w:themeColor="text1"/>
          <w:sz w:val="24"/>
          <w:szCs w:val="24"/>
          <w:highlight w:val="none"/>
        </w:rPr>
      </w:pPr>
      <w:r>
        <w:rPr>
          <w:rFonts w:hint="eastAsia" w:ascii="Times New Roman" w:hAnsi="Times New Roman" w:eastAsia="新宋体" w:cs="Times New Roman"/>
          <w:color w:val="000000" w:themeColor="text1"/>
          <w:sz w:val="24"/>
          <w:szCs w:val="24"/>
          <w:highlight w:val="none"/>
        </w:rPr>
        <w:t>（2）总价金额与依据单价计算出的结果不一致的，以单价金额为准修正总价，但单价金额小数点有明显错误的除外。</w:t>
      </w:r>
    </w:p>
    <w:p>
      <w:pPr>
        <w:widowControl/>
        <w:spacing w:line="300" w:lineRule="auto"/>
        <w:ind w:firstLine="480" w:firstLineChars="200"/>
        <w:rPr>
          <w:rFonts w:ascii="Times New Roman" w:hAnsi="Times New Roman" w:eastAsia="新宋体" w:cs="Times New Roman"/>
          <w:color w:val="000000" w:themeColor="text1"/>
          <w:sz w:val="24"/>
          <w:szCs w:val="24"/>
          <w:highlight w:val="none"/>
        </w:rPr>
      </w:pPr>
      <w:r>
        <w:rPr>
          <w:rFonts w:hint="eastAsia" w:ascii="Times New Roman" w:hAnsi="Times New Roman" w:eastAsia="新宋体" w:cs="Times New Roman"/>
          <w:color w:val="000000" w:themeColor="text1"/>
          <w:sz w:val="24"/>
          <w:szCs w:val="24"/>
          <w:highlight w:val="none"/>
        </w:rPr>
        <w:t>（3）对不同文字文本投标文件的解释发生异议的，以中文文本为准。</w:t>
      </w:r>
    </w:p>
    <w:p>
      <w:pPr>
        <w:widowControl/>
        <w:spacing w:line="300" w:lineRule="auto"/>
        <w:ind w:firstLine="480" w:firstLineChars="200"/>
        <w:rPr>
          <w:rFonts w:ascii="Times New Roman" w:hAnsi="Times New Roman" w:eastAsia="新宋体" w:cs="Times New Roman"/>
          <w:color w:val="000000" w:themeColor="text1"/>
          <w:sz w:val="24"/>
          <w:szCs w:val="24"/>
          <w:highlight w:val="none"/>
        </w:rPr>
      </w:pPr>
      <w:bookmarkStart w:id="128" w:name="_Toc419964550"/>
      <w:r>
        <w:rPr>
          <w:rFonts w:hint="eastAsia" w:ascii="Times New Roman" w:hAnsi="Times New Roman" w:eastAsia="新宋体" w:cs="Times New Roman"/>
          <w:color w:val="000000" w:themeColor="text1"/>
          <w:sz w:val="24"/>
          <w:szCs w:val="24"/>
          <w:highlight w:val="none"/>
        </w:rPr>
        <w:t>3.2 详细评审</w:t>
      </w:r>
      <w:bookmarkEnd w:id="128"/>
    </w:p>
    <w:p>
      <w:pPr>
        <w:widowControl/>
        <w:spacing w:line="300" w:lineRule="auto"/>
        <w:ind w:firstLine="480" w:firstLineChars="200"/>
        <w:rPr>
          <w:rFonts w:ascii="Times New Roman" w:hAnsi="Times New Roman" w:eastAsia="新宋体" w:cs="Times New Roman"/>
          <w:color w:val="000000" w:themeColor="text1"/>
          <w:sz w:val="24"/>
          <w:szCs w:val="24"/>
          <w:highlight w:val="none"/>
        </w:rPr>
      </w:pPr>
      <w:r>
        <w:rPr>
          <w:rFonts w:hint="eastAsia" w:ascii="Times New Roman" w:hAnsi="Times New Roman" w:eastAsia="新宋体" w:cs="Times New Roman"/>
          <w:color w:val="000000" w:themeColor="text1"/>
          <w:sz w:val="24"/>
          <w:szCs w:val="24"/>
          <w:highlight w:val="none"/>
        </w:rPr>
        <w:t>3.2.1评标委员会按本章第2.2款规定的评标因素和分值进行打分，并计算出得分。</w:t>
      </w:r>
    </w:p>
    <w:p>
      <w:pPr>
        <w:widowControl/>
        <w:spacing w:line="300" w:lineRule="auto"/>
        <w:ind w:firstLine="480" w:firstLineChars="200"/>
        <w:rPr>
          <w:rFonts w:ascii="Times New Roman" w:hAnsi="Times New Roman" w:eastAsia="新宋体" w:cs="Times New Roman"/>
          <w:color w:val="000000" w:themeColor="text1"/>
          <w:sz w:val="24"/>
          <w:szCs w:val="24"/>
          <w:highlight w:val="none"/>
        </w:rPr>
      </w:pPr>
      <w:r>
        <w:rPr>
          <w:rFonts w:hint="eastAsia" w:ascii="Times New Roman" w:hAnsi="Times New Roman" w:eastAsia="新宋体" w:cs="Times New Roman"/>
          <w:color w:val="000000" w:themeColor="text1"/>
          <w:sz w:val="24"/>
          <w:szCs w:val="24"/>
          <w:highlight w:val="none"/>
        </w:rPr>
        <w:t>3.2.2评分分值计算保留小数点后两位。</w:t>
      </w:r>
    </w:p>
    <w:p>
      <w:pPr>
        <w:widowControl/>
        <w:spacing w:line="300" w:lineRule="auto"/>
        <w:ind w:firstLine="480" w:firstLineChars="200"/>
        <w:rPr>
          <w:rFonts w:ascii="Times New Roman" w:hAnsi="Times New Roman" w:eastAsia="新宋体" w:cs="Times New Roman"/>
          <w:color w:val="000000" w:themeColor="text1"/>
          <w:sz w:val="24"/>
          <w:szCs w:val="24"/>
          <w:highlight w:val="none"/>
        </w:rPr>
      </w:pPr>
      <w:r>
        <w:rPr>
          <w:rFonts w:hint="eastAsia" w:ascii="Times New Roman" w:hAnsi="Times New Roman" w:eastAsia="新宋体" w:cs="Times New Roman"/>
          <w:color w:val="000000" w:themeColor="text1"/>
          <w:sz w:val="24"/>
          <w:szCs w:val="24"/>
          <w:highlight w:val="none"/>
        </w:rPr>
        <w:t>3.2.3 投标人总得分=报价部分得分+商务部分得分+技术部分得分。</w:t>
      </w:r>
    </w:p>
    <w:p>
      <w:pPr>
        <w:widowControl/>
        <w:spacing w:line="300" w:lineRule="auto"/>
        <w:ind w:firstLine="480" w:firstLineChars="200"/>
        <w:rPr>
          <w:rFonts w:ascii="Times New Roman" w:hAnsi="Times New Roman" w:eastAsia="新宋体" w:cs="Times New Roman"/>
          <w:color w:val="000000" w:themeColor="text1"/>
          <w:sz w:val="24"/>
          <w:szCs w:val="24"/>
          <w:highlight w:val="none"/>
        </w:rPr>
      </w:pPr>
      <w:bookmarkStart w:id="129" w:name="_Toc419964551"/>
      <w:r>
        <w:rPr>
          <w:rFonts w:hint="eastAsia" w:ascii="Times New Roman" w:hAnsi="Times New Roman" w:eastAsia="新宋体" w:cs="Times New Roman"/>
          <w:color w:val="000000" w:themeColor="text1"/>
          <w:sz w:val="24"/>
          <w:szCs w:val="24"/>
          <w:highlight w:val="none"/>
        </w:rPr>
        <w:t>3.3 投标文件的澄清和补正</w:t>
      </w:r>
      <w:bookmarkEnd w:id="129"/>
    </w:p>
    <w:p>
      <w:pPr>
        <w:widowControl/>
        <w:spacing w:line="300" w:lineRule="auto"/>
        <w:ind w:firstLine="480" w:firstLineChars="200"/>
        <w:rPr>
          <w:rFonts w:ascii="Times New Roman" w:hAnsi="Times New Roman" w:eastAsia="新宋体" w:cs="Times New Roman"/>
          <w:color w:val="000000" w:themeColor="text1"/>
          <w:sz w:val="24"/>
          <w:szCs w:val="24"/>
          <w:highlight w:val="none"/>
        </w:rPr>
      </w:pPr>
      <w:r>
        <w:rPr>
          <w:rFonts w:hint="eastAsia" w:ascii="Times New Roman" w:hAnsi="Times New Roman" w:eastAsia="新宋体" w:cs="Times New Roman"/>
          <w:color w:val="000000" w:themeColor="text1"/>
          <w:sz w:val="24"/>
          <w:szCs w:val="24"/>
          <w:highlight w:val="none"/>
        </w:rPr>
        <w:t>3.3.1在评标过程中，评标委员会可以书面形式要求投标人对所提交投标文件中不明确的内容进行书面澄清或说明，或者对细微偏差进行补正。评标委员会不接受投标人主动提出的澄清、说明或补正。</w:t>
      </w:r>
    </w:p>
    <w:p>
      <w:pPr>
        <w:widowControl/>
        <w:spacing w:line="300" w:lineRule="auto"/>
        <w:ind w:firstLine="480" w:firstLineChars="200"/>
        <w:rPr>
          <w:rFonts w:ascii="Times New Roman" w:hAnsi="Times New Roman" w:eastAsia="新宋体" w:cs="Times New Roman"/>
          <w:color w:val="000000" w:themeColor="text1"/>
          <w:sz w:val="24"/>
          <w:szCs w:val="24"/>
          <w:highlight w:val="none"/>
        </w:rPr>
      </w:pPr>
      <w:r>
        <w:rPr>
          <w:rFonts w:hint="eastAsia" w:ascii="Times New Roman" w:hAnsi="Times New Roman" w:eastAsia="新宋体" w:cs="Times New Roman"/>
          <w:color w:val="000000" w:themeColor="text1"/>
          <w:sz w:val="24"/>
          <w:szCs w:val="24"/>
          <w:highlight w:val="none"/>
        </w:rPr>
        <w:t>3.3.2 评标委员会对投标人提交的澄清、说明或补正有疑问的，可以要求投标人进一步澄清、说明或补正。</w:t>
      </w:r>
    </w:p>
    <w:p>
      <w:pPr>
        <w:widowControl/>
        <w:spacing w:line="300" w:lineRule="auto"/>
        <w:ind w:firstLine="480" w:firstLineChars="200"/>
        <w:rPr>
          <w:rFonts w:ascii="Times New Roman" w:hAnsi="Times New Roman" w:eastAsia="新宋体" w:cs="Times New Roman"/>
          <w:color w:val="000000" w:themeColor="text1"/>
          <w:sz w:val="24"/>
          <w:szCs w:val="24"/>
          <w:highlight w:val="none"/>
        </w:rPr>
      </w:pPr>
      <w:r>
        <w:rPr>
          <w:rFonts w:hint="eastAsia" w:ascii="Times New Roman" w:hAnsi="Times New Roman" w:eastAsia="新宋体" w:cs="Times New Roman"/>
          <w:color w:val="000000" w:themeColor="text1"/>
          <w:sz w:val="24"/>
          <w:szCs w:val="24"/>
          <w:highlight w:val="none"/>
        </w:rPr>
        <w:t>3.3.3 澄清、说明和补正不得改变投标文件的实质性内容（算术性错误修正的除外）。投标人的书面澄清、说明和补正属于投标文件的组成部分。</w:t>
      </w:r>
    </w:p>
    <w:p>
      <w:pPr>
        <w:widowControl/>
        <w:spacing w:line="300" w:lineRule="auto"/>
        <w:ind w:firstLine="480" w:firstLineChars="200"/>
        <w:rPr>
          <w:rFonts w:ascii="Times New Roman" w:hAnsi="Times New Roman" w:eastAsia="新宋体" w:cs="Times New Roman"/>
          <w:color w:val="000000" w:themeColor="text1"/>
          <w:sz w:val="24"/>
          <w:szCs w:val="24"/>
          <w:highlight w:val="none"/>
        </w:rPr>
      </w:pPr>
      <w:bookmarkStart w:id="130" w:name="_Toc419964552"/>
      <w:r>
        <w:rPr>
          <w:rFonts w:hint="eastAsia" w:ascii="Times New Roman" w:hAnsi="Times New Roman" w:eastAsia="新宋体" w:cs="Times New Roman"/>
          <w:color w:val="000000" w:themeColor="text1"/>
          <w:sz w:val="24"/>
          <w:szCs w:val="24"/>
          <w:highlight w:val="none"/>
        </w:rPr>
        <w:t>3.4 评标结果</w:t>
      </w:r>
      <w:bookmarkEnd w:id="130"/>
    </w:p>
    <w:p>
      <w:pPr>
        <w:widowControl/>
        <w:spacing w:line="300" w:lineRule="auto"/>
        <w:ind w:firstLine="480" w:firstLineChars="200"/>
        <w:rPr>
          <w:rFonts w:ascii="Times New Roman" w:hAnsi="Times New Roman" w:eastAsia="新宋体" w:cs="Times New Roman"/>
          <w:color w:val="000000" w:themeColor="text1"/>
          <w:sz w:val="24"/>
          <w:szCs w:val="24"/>
          <w:highlight w:val="none"/>
        </w:rPr>
      </w:pPr>
      <w:r>
        <w:rPr>
          <w:rFonts w:hint="eastAsia" w:ascii="Times New Roman" w:hAnsi="Times New Roman" w:eastAsia="新宋体" w:cs="Times New Roman"/>
          <w:color w:val="000000" w:themeColor="text1"/>
          <w:sz w:val="24"/>
          <w:szCs w:val="24"/>
          <w:highlight w:val="none"/>
        </w:rPr>
        <w:t>3.4.1除第二章“投标人须知前附表”授权直接确定中标人外，评标委员会按照得分由高到低的顺序推荐前三名为中标候选人。</w:t>
      </w:r>
    </w:p>
    <w:p>
      <w:pPr>
        <w:widowControl/>
        <w:spacing w:line="300" w:lineRule="auto"/>
        <w:ind w:firstLine="480" w:firstLineChars="200"/>
        <w:rPr>
          <w:rFonts w:ascii="Times New Roman" w:hAnsi="Times New Roman" w:eastAsia="新宋体" w:cs="Times New Roman"/>
          <w:color w:val="000000" w:themeColor="text1"/>
          <w:sz w:val="24"/>
          <w:szCs w:val="24"/>
          <w:highlight w:val="none"/>
        </w:rPr>
      </w:pPr>
      <w:r>
        <w:rPr>
          <w:rFonts w:hint="eastAsia" w:ascii="Times New Roman" w:hAnsi="Times New Roman" w:eastAsia="新宋体" w:cs="Times New Roman"/>
          <w:color w:val="000000" w:themeColor="text1"/>
          <w:sz w:val="24"/>
          <w:szCs w:val="24"/>
          <w:highlight w:val="none"/>
        </w:rPr>
        <w:t>3.4.2评标委员会完成评标后，应当向招标人提交书面评标报告。</w:t>
      </w:r>
    </w:p>
    <w:bookmarkEnd w:id="113"/>
    <w:bookmarkEnd w:id="114"/>
    <w:bookmarkEnd w:id="115"/>
    <w:bookmarkEnd w:id="116"/>
    <w:bookmarkEnd w:id="118"/>
    <w:bookmarkEnd w:id="119"/>
    <w:p>
      <w:pPr>
        <w:keepNext/>
        <w:keepLines/>
        <w:spacing w:line="360" w:lineRule="auto"/>
        <w:ind w:firstLine="883" w:firstLineChars="200"/>
        <w:jc w:val="center"/>
        <w:outlineLvl w:val="0"/>
        <w:rPr>
          <w:rFonts w:ascii="Calibri" w:hAnsi="Calibri" w:eastAsia="黑体" w:cs="Times New Roman"/>
          <w:b/>
          <w:bCs/>
          <w:color w:val="000000" w:themeColor="text1"/>
          <w:kern w:val="44"/>
          <w:sz w:val="44"/>
          <w:szCs w:val="44"/>
          <w:highlight w:val="none"/>
        </w:rPr>
      </w:pPr>
      <w:bookmarkStart w:id="131" w:name="_Toc489972852"/>
      <w:r>
        <w:rPr>
          <w:rFonts w:ascii="Calibri" w:hAnsi="Calibri" w:eastAsia="黑体" w:cs="Times New Roman"/>
          <w:b/>
          <w:bCs/>
          <w:color w:val="000000" w:themeColor="text1"/>
          <w:kern w:val="44"/>
          <w:sz w:val="44"/>
          <w:szCs w:val="44"/>
          <w:highlight w:val="none"/>
        </w:rPr>
        <w:br w:type="page"/>
      </w:r>
      <w:r>
        <w:rPr>
          <w:rFonts w:ascii="Calibri" w:hAnsi="Calibri" w:eastAsia="黑体" w:cs="Times New Roman"/>
          <w:b/>
          <w:bCs/>
          <w:color w:val="000000" w:themeColor="text1"/>
          <w:kern w:val="44"/>
          <w:sz w:val="44"/>
          <w:szCs w:val="44"/>
          <w:highlight w:val="none"/>
        </w:rPr>
        <w:t>第四章</w:t>
      </w:r>
      <w:r>
        <w:rPr>
          <w:rFonts w:hint="eastAsia" w:ascii="Calibri" w:hAnsi="Calibri" w:eastAsia="黑体" w:cs="Times New Roman"/>
          <w:b/>
          <w:bCs/>
          <w:color w:val="000000" w:themeColor="text1"/>
          <w:kern w:val="44"/>
          <w:sz w:val="44"/>
          <w:szCs w:val="44"/>
          <w:highlight w:val="none"/>
        </w:rPr>
        <w:t xml:space="preserve">  </w:t>
      </w:r>
      <w:r>
        <w:rPr>
          <w:rFonts w:ascii="Calibri" w:hAnsi="Calibri" w:eastAsia="黑体" w:cs="Times New Roman"/>
          <w:b/>
          <w:bCs/>
          <w:color w:val="000000" w:themeColor="text1"/>
          <w:kern w:val="44"/>
          <w:sz w:val="44"/>
          <w:szCs w:val="44"/>
          <w:highlight w:val="none"/>
        </w:rPr>
        <w:t>合同条款及格式</w:t>
      </w:r>
      <w:bookmarkEnd w:id="131"/>
      <w:r>
        <w:rPr>
          <w:rFonts w:hint="eastAsia" w:ascii="Calibri" w:hAnsi="Calibri" w:eastAsia="黑体" w:cs="Times New Roman"/>
          <w:b/>
          <w:bCs/>
          <w:color w:val="000000" w:themeColor="text1"/>
          <w:kern w:val="44"/>
          <w:sz w:val="44"/>
          <w:szCs w:val="44"/>
          <w:highlight w:val="none"/>
        </w:rPr>
        <w:t>（部分）</w:t>
      </w:r>
    </w:p>
    <w:p>
      <w:pPr>
        <w:rPr>
          <w:rFonts w:ascii="宋体" w:hAnsi="宋体" w:eastAsia="宋体" w:cs="Times New Roman"/>
          <w:color w:val="000000" w:themeColor="text1"/>
          <w:szCs w:val="20"/>
          <w:highlight w:val="none"/>
        </w:rPr>
      </w:pPr>
      <w:bookmarkStart w:id="132" w:name="_Toc489972853"/>
    </w:p>
    <w:p>
      <w:pPr>
        <w:jc w:val="center"/>
        <w:rPr>
          <w:rFonts w:ascii="仿宋_GB2312" w:eastAsia="仿宋_GB2312"/>
          <w:color w:val="000000" w:themeColor="text1"/>
          <w:sz w:val="24"/>
          <w:highlight w:val="none"/>
        </w:rPr>
      </w:pPr>
    </w:p>
    <w:p>
      <w:pPr>
        <w:jc w:val="center"/>
        <w:rPr>
          <w:rFonts w:ascii="仿宋_GB2312" w:eastAsia="仿宋_GB2312"/>
          <w:color w:val="000000" w:themeColor="text1"/>
          <w:sz w:val="24"/>
          <w:highlight w:val="none"/>
        </w:rPr>
      </w:pPr>
    </w:p>
    <w:p>
      <w:pPr>
        <w:rPr>
          <w:rFonts w:ascii="仿宋_GB2312" w:eastAsia="仿宋_GB2312"/>
          <w:b/>
          <w:color w:val="000000" w:themeColor="text1"/>
          <w:sz w:val="48"/>
          <w:highlight w:val="none"/>
        </w:rPr>
      </w:pPr>
    </w:p>
    <w:p>
      <w:pPr>
        <w:rPr>
          <w:rFonts w:ascii="仿宋_GB2312" w:eastAsia="仿宋_GB2312"/>
          <w:b/>
          <w:color w:val="000000" w:themeColor="text1"/>
          <w:sz w:val="48"/>
          <w:highlight w:val="none"/>
        </w:rPr>
      </w:pPr>
    </w:p>
    <w:p>
      <w:pPr>
        <w:ind w:firstLine="3845" w:firstLineChars="798"/>
        <w:rPr>
          <w:rFonts w:ascii="仿宋_GB2312" w:eastAsia="仿宋_GB2312"/>
          <w:b/>
          <w:color w:val="000000" w:themeColor="text1"/>
          <w:sz w:val="48"/>
          <w:highlight w:val="none"/>
        </w:rPr>
      </w:pPr>
    </w:p>
    <w:p>
      <w:pPr>
        <w:ind w:firstLine="3845" w:firstLineChars="798"/>
        <w:rPr>
          <w:rFonts w:ascii="仿宋_GB2312" w:eastAsia="仿宋_GB2312"/>
          <w:b/>
          <w:color w:val="000000" w:themeColor="text1"/>
          <w:sz w:val="48"/>
          <w:highlight w:val="none"/>
        </w:rPr>
      </w:pPr>
    </w:p>
    <w:p>
      <w:pPr>
        <w:spacing w:beforeLines="50" w:line="360" w:lineRule="auto"/>
        <w:ind w:right="33"/>
        <w:jc w:val="center"/>
        <w:rPr>
          <w:rFonts w:ascii="仿宋_GB2312" w:hAnsi="宋体" w:eastAsia="仿宋_GB2312"/>
          <w:b/>
          <w:color w:val="000000" w:themeColor="text1"/>
          <w:sz w:val="36"/>
          <w:highlight w:val="none"/>
        </w:rPr>
      </w:pPr>
    </w:p>
    <w:p>
      <w:pPr>
        <w:spacing w:beforeLines="50" w:line="360" w:lineRule="auto"/>
        <w:ind w:right="33"/>
        <w:jc w:val="center"/>
        <w:rPr>
          <w:rFonts w:ascii="仿宋_GB2312" w:hAnsi="宋体" w:eastAsia="仿宋_GB2312"/>
          <w:b/>
          <w:color w:val="000000" w:themeColor="text1"/>
          <w:sz w:val="36"/>
          <w:highlight w:val="none"/>
        </w:rPr>
      </w:pPr>
    </w:p>
    <w:p>
      <w:pPr>
        <w:rPr>
          <w:rFonts w:ascii="仿宋_GB2312" w:eastAsia="仿宋_GB2312"/>
          <w:color w:val="000000" w:themeColor="text1"/>
          <w:sz w:val="24"/>
          <w:highlight w:val="none"/>
        </w:rPr>
      </w:pPr>
    </w:p>
    <w:p>
      <w:pPr>
        <w:spacing w:line="360" w:lineRule="auto"/>
        <w:rPr>
          <w:rFonts w:ascii="仿宋_GB2312" w:eastAsia="仿宋_GB2312"/>
          <w:color w:val="000000" w:themeColor="text1"/>
          <w:highlight w:val="none"/>
        </w:rPr>
      </w:pPr>
      <w:r>
        <w:rPr>
          <w:rFonts w:hint="eastAsia" w:ascii="仿宋_GB2312" w:eastAsia="仿宋_GB2312"/>
          <w:color w:val="000000" w:themeColor="text1"/>
          <w:sz w:val="24"/>
          <w:highlight w:val="none"/>
        </w:rPr>
        <w:br w:type="page"/>
      </w:r>
      <w:r>
        <w:rPr>
          <w:rFonts w:hint="eastAsia" w:ascii="仿宋_GB2312" w:eastAsia="仿宋_GB2312"/>
          <w:color w:val="000000" w:themeColor="text1"/>
          <w:highlight w:val="none"/>
        </w:rPr>
        <w:t xml:space="preserve">              </w:t>
      </w:r>
    </w:p>
    <w:p>
      <w:pPr>
        <w:ind w:firstLine="640" w:firstLineChars="200"/>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经公开招标，重庆银行股份有限公司（以下简称“甲方”）委托           （以下简称“乙方”）提供借记金融IC卡（以下简称IC卡）及卡片个人化制作事宜达成一致意见，现根据合同法及相关法律法规订立如下协议条款，甲乙双方共同遵守执行。</w:t>
      </w:r>
    </w:p>
    <w:p>
      <w:pPr>
        <w:ind w:firstLine="640" w:firstLineChars="200"/>
        <w:rPr>
          <w:rFonts w:ascii="方正黑体_GBK" w:hAnsi="宋体" w:eastAsia="方正黑体_GBK"/>
          <w:b/>
          <w:color w:val="000000" w:themeColor="text1"/>
          <w:sz w:val="32"/>
          <w:szCs w:val="32"/>
          <w:highlight w:val="none"/>
        </w:rPr>
      </w:pPr>
      <w:r>
        <w:rPr>
          <w:rFonts w:hint="eastAsia" w:ascii="方正黑体_GBK" w:hAnsi="宋体" w:eastAsia="方正黑体_GBK"/>
          <w:color w:val="000000" w:themeColor="text1"/>
          <w:sz w:val="32"/>
          <w:szCs w:val="32"/>
          <w:highlight w:val="none"/>
        </w:rPr>
        <w:t>一、</w:t>
      </w:r>
      <w:r>
        <w:rPr>
          <w:rFonts w:hint="eastAsia" w:ascii="方正黑体_GBK" w:hAnsi="宋体" w:eastAsia="方正黑体_GBK"/>
          <w:b/>
          <w:color w:val="000000" w:themeColor="text1"/>
          <w:sz w:val="32"/>
          <w:szCs w:val="32"/>
          <w:highlight w:val="none"/>
        </w:rPr>
        <w:t>基本内容、范围及监管要求</w:t>
      </w:r>
    </w:p>
    <w:p>
      <w:pPr>
        <w:ind w:firstLine="640" w:firstLineChars="200"/>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1.1  合规与内控要求</w:t>
      </w:r>
    </w:p>
    <w:p>
      <w:pPr>
        <w:ind w:firstLine="640" w:firstLineChars="200"/>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1.2 服务连续性与应急响应要求</w:t>
      </w:r>
    </w:p>
    <w:p>
      <w:pPr>
        <w:ind w:firstLine="640" w:firstLineChars="200"/>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1.3 报告条款</w:t>
      </w:r>
    </w:p>
    <w:p>
      <w:pPr>
        <w:ind w:firstLine="640" w:firstLineChars="200"/>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1.4乙方对甲方提供的服务资源应当至少与其他机构相互逻辑隔离，仅甲方具有对业务系统和数据的最高访问权限。</w:t>
      </w:r>
    </w:p>
    <w:p>
      <w:pPr>
        <w:ind w:firstLine="640" w:firstLineChars="200"/>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1.5 未经同意，乙方不得将甲方数据以任何形式转移、挪用或为乙方自身谋取利益。</w:t>
      </w:r>
    </w:p>
    <w:p>
      <w:pPr>
        <w:ind w:firstLine="640" w:firstLineChars="200"/>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1.6乙方不得将外包服务转包和变相转包。</w:t>
      </w:r>
    </w:p>
    <w:p>
      <w:pPr>
        <w:rPr>
          <w:rFonts w:ascii="宋体" w:hAnsi="宋体"/>
          <w:b/>
          <w:color w:val="000000" w:themeColor="text1"/>
          <w:sz w:val="28"/>
          <w:szCs w:val="28"/>
          <w:highlight w:val="none"/>
        </w:rPr>
      </w:pPr>
    </w:p>
    <w:p>
      <w:pPr>
        <w:spacing w:line="400" w:lineRule="exact"/>
        <w:ind w:firstLine="549" w:firstLineChars="196"/>
        <w:rPr>
          <w:rFonts w:ascii="方正黑体_GBK" w:hAnsi="宋体" w:eastAsia="方正黑体_GBK"/>
          <w:b/>
          <w:color w:val="000000" w:themeColor="text1"/>
          <w:sz w:val="28"/>
          <w:szCs w:val="28"/>
          <w:highlight w:val="none"/>
        </w:rPr>
      </w:pPr>
      <w:r>
        <w:rPr>
          <w:rFonts w:hint="eastAsia" w:ascii="方正黑体_GBK" w:hAnsi="宋体" w:eastAsia="方正黑体_GBK"/>
          <w:b/>
          <w:color w:val="000000" w:themeColor="text1"/>
          <w:sz w:val="28"/>
          <w:szCs w:val="28"/>
          <w:highlight w:val="none"/>
        </w:rPr>
        <w:t>二、采购标的、价格等</w:t>
      </w:r>
    </w:p>
    <w:tbl>
      <w:tblPr>
        <w:tblStyle w:val="55"/>
        <w:tblW w:w="8969"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3780"/>
        <w:gridCol w:w="3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18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方正仿宋_GBK" w:hAnsi="宋体" w:eastAsia="方正仿宋_GBK"/>
                <w:b/>
                <w:color w:val="000000" w:themeColor="text1"/>
                <w:sz w:val="30"/>
                <w:szCs w:val="30"/>
                <w:highlight w:val="none"/>
              </w:rPr>
            </w:pPr>
            <w:r>
              <w:rPr>
                <w:rFonts w:hint="eastAsia" w:ascii="方正仿宋_GBK" w:hAnsi="宋体" w:eastAsia="方正仿宋_GBK"/>
                <w:b/>
                <w:color w:val="000000" w:themeColor="text1"/>
                <w:sz w:val="30"/>
                <w:szCs w:val="30"/>
                <w:highlight w:val="none"/>
              </w:rPr>
              <w:t>项  目</w:t>
            </w:r>
          </w:p>
        </w:tc>
        <w:tc>
          <w:tcPr>
            <w:tcW w:w="37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方正仿宋_GBK" w:hAnsi="宋体" w:eastAsia="方正仿宋_GBK"/>
                <w:b/>
                <w:color w:val="000000" w:themeColor="text1"/>
                <w:sz w:val="30"/>
                <w:szCs w:val="30"/>
                <w:highlight w:val="none"/>
              </w:rPr>
            </w:pPr>
            <w:r>
              <w:rPr>
                <w:rFonts w:hint="eastAsia" w:ascii="方正仿宋_GBK" w:hAnsi="宋体" w:eastAsia="方正仿宋_GBK"/>
                <w:b/>
                <w:color w:val="000000" w:themeColor="text1"/>
                <w:sz w:val="30"/>
                <w:szCs w:val="30"/>
                <w:highlight w:val="none"/>
              </w:rPr>
              <w:t>单价（元）</w:t>
            </w:r>
          </w:p>
        </w:tc>
        <w:tc>
          <w:tcPr>
            <w:tcW w:w="338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方正仿宋_GBK" w:hAnsi="宋体" w:eastAsia="方正仿宋_GBK"/>
                <w:b/>
                <w:color w:val="000000" w:themeColor="text1"/>
                <w:sz w:val="30"/>
                <w:szCs w:val="30"/>
                <w:highlight w:val="none"/>
              </w:rPr>
            </w:pPr>
            <w:r>
              <w:rPr>
                <w:rFonts w:hint="eastAsia" w:ascii="方正仿宋_GBK" w:hAnsi="宋体" w:eastAsia="方正仿宋_GBK"/>
                <w:b/>
                <w:color w:val="000000" w:themeColor="text1"/>
                <w:sz w:val="30"/>
                <w:szCs w:val="30"/>
                <w:highlight w:val="none"/>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55" w:hRule="atLeast"/>
        </w:trPr>
        <w:tc>
          <w:tcPr>
            <w:tcW w:w="18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方正仿宋_GBK" w:hAnsi="宋体" w:eastAsia="方正仿宋_GBK"/>
                <w:color w:val="000000" w:themeColor="text1"/>
                <w:sz w:val="30"/>
                <w:szCs w:val="30"/>
                <w:highlight w:val="none"/>
              </w:rPr>
            </w:pPr>
            <w:r>
              <w:rPr>
                <w:rFonts w:hint="eastAsia" w:ascii="方正仿宋_GBK" w:hAnsi="宋体" w:eastAsia="方正仿宋_GBK"/>
                <w:color w:val="000000" w:themeColor="text1"/>
                <w:sz w:val="30"/>
                <w:szCs w:val="30"/>
                <w:highlight w:val="none"/>
              </w:rPr>
              <w:t>重庆银行借记金融IC卡采购项目</w:t>
            </w:r>
          </w:p>
        </w:tc>
        <w:tc>
          <w:tcPr>
            <w:tcW w:w="3780" w:type="dxa"/>
            <w:tcBorders>
              <w:top w:val="single" w:color="auto" w:sz="4" w:space="0"/>
              <w:left w:val="single" w:color="auto" w:sz="4" w:space="0"/>
              <w:bottom w:val="single" w:color="auto" w:sz="4" w:space="0"/>
              <w:right w:val="single" w:color="auto" w:sz="4" w:space="0"/>
            </w:tcBorders>
            <w:vAlign w:val="center"/>
          </w:tcPr>
          <w:p>
            <w:pPr>
              <w:spacing w:line="400" w:lineRule="exact"/>
              <w:ind w:right="720"/>
              <w:rPr>
                <w:rFonts w:ascii="方正仿宋_GBK" w:hAnsi="宋体" w:eastAsia="方正仿宋_GBK"/>
                <w:color w:val="000000" w:themeColor="text1"/>
                <w:sz w:val="30"/>
                <w:szCs w:val="30"/>
                <w:highlight w:val="none"/>
              </w:rPr>
            </w:pPr>
          </w:p>
          <w:p>
            <w:pPr>
              <w:spacing w:line="400" w:lineRule="exact"/>
              <w:ind w:right="600"/>
              <w:rPr>
                <w:rFonts w:ascii="方正仿宋_GBK" w:hAnsi="宋体" w:eastAsia="方正仿宋_GBK"/>
                <w:color w:val="000000" w:themeColor="text1"/>
                <w:sz w:val="30"/>
                <w:szCs w:val="30"/>
                <w:highlight w:val="none"/>
              </w:rPr>
            </w:pPr>
          </w:p>
        </w:tc>
        <w:tc>
          <w:tcPr>
            <w:tcW w:w="338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方正仿宋_GBK" w:hAnsi="宋体" w:eastAsia="方正仿宋_GBK"/>
                <w:color w:val="000000" w:themeColor="text1"/>
                <w:sz w:val="30"/>
                <w:szCs w:val="30"/>
                <w:highlight w:val="none"/>
              </w:rPr>
            </w:pPr>
            <w:r>
              <w:rPr>
                <w:rFonts w:hint="eastAsia" w:ascii="方正仿宋_GBK" w:hAnsi="宋体" w:eastAsia="方正仿宋_GBK"/>
                <w:color w:val="000000" w:themeColor="text1"/>
                <w:sz w:val="30"/>
                <w:szCs w:val="30"/>
                <w:highlight w:val="none"/>
              </w:rPr>
              <w:t>1、含银联信息、重庆银行信息，隐形磁条等卡面印刷和空白卡制作</w:t>
            </w:r>
          </w:p>
          <w:p>
            <w:pPr>
              <w:spacing w:line="400" w:lineRule="exact"/>
              <w:rPr>
                <w:rFonts w:ascii="方正仿宋_GBK" w:hAnsi="宋体" w:eastAsia="方正仿宋_GBK"/>
                <w:color w:val="000000" w:themeColor="text1"/>
                <w:sz w:val="30"/>
                <w:szCs w:val="30"/>
                <w:highlight w:val="none"/>
              </w:rPr>
            </w:pPr>
            <w:r>
              <w:rPr>
                <w:rFonts w:hint="eastAsia" w:ascii="方正仿宋_GBK" w:hAnsi="宋体" w:eastAsia="方正仿宋_GBK"/>
                <w:color w:val="000000" w:themeColor="text1"/>
                <w:sz w:val="30"/>
                <w:szCs w:val="30"/>
                <w:highlight w:val="none"/>
              </w:rPr>
              <w:t>2、芯片与卡体封装</w:t>
            </w:r>
          </w:p>
          <w:p>
            <w:pPr>
              <w:spacing w:line="400" w:lineRule="exact"/>
              <w:rPr>
                <w:rFonts w:ascii="方正仿宋_GBK" w:hAnsi="宋体" w:eastAsia="方正仿宋_GBK"/>
                <w:color w:val="000000" w:themeColor="text1"/>
                <w:sz w:val="30"/>
                <w:szCs w:val="30"/>
                <w:highlight w:val="none"/>
              </w:rPr>
            </w:pPr>
            <w:r>
              <w:rPr>
                <w:rFonts w:hint="eastAsia" w:ascii="方正仿宋_GBK" w:hAnsi="宋体" w:eastAsia="方正仿宋_GBK"/>
                <w:color w:val="000000" w:themeColor="text1"/>
                <w:sz w:val="30"/>
                <w:szCs w:val="30"/>
                <w:highlight w:val="none"/>
              </w:rPr>
              <w:t>3、个人化加工内容：写磁 、银行卡号、IC卡数据写入、卡面个人化信息等磁条、芯片个人化全部制作。</w:t>
            </w:r>
          </w:p>
          <w:p>
            <w:pPr>
              <w:spacing w:line="400" w:lineRule="exact"/>
              <w:rPr>
                <w:rFonts w:ascii="方正仿宋_GBK" w:hAnsi="宋体" w:eastAsia="方正仿宋_GBK"/>
                <w:color w:val="000000" w:themeColor="text1"/>
                <w:sz w:val="30"/>
                <w:szCs w:val="30"/>
                <w:highlight w:val="none"/>
              </w:rPr>
            </w:pPr>
            <w:r>
              <w:rPr>
                <w:rFonts w:hint="eastAsia" w:ascii="方正仿宋_GBK" w:hAnsi="宋体" w:eastAsia="方正仿宋_GBK"/>
                <w:color w:val="000000" w:themeColor="text1"/>
                <w:sz w:val="30"/>
                <w:szCs w:val="30"/>
                <w:highlight w:val="none"/>
              </w:rPr>
              <w:t>4、由于甲方业务发展需要写入的其他内容。</w:t>
            </w:r>
          </w:p>
          <w:p>
            <w:pPr>
              <w:spacing w:line="400" w:lineRule="exact"/>
              <w:rPr>
                <w:rFonts w:ascii="方正仿宋_GBK" w:hAnsi="宋体" w:eastAsia="方正仿宋_GBK"/>
                <w:color w:val="000000" w:themeColor="text1"/>
                <w:sz w:val="30"/>
                <w:szCs w:val="30"/>
                <w:highlight w:val="none"/>
              </w:rPr>
            </w:pPr>
            <w:r>
              <w:rPr>
                <w:rFonts w:hint="eastAsia" w:ascii="方正仿宋_GBK" w:hAnsi="宋体" w:eastAsia="方正仿宋_GBK"/>
                <w:color w:val="000000" w:themeColor="text1"/>
                <w:sz w:val="30"/>
                <w:szCs w:val="30"/>
                <w:highlight w:val="none"/>
              </w:rPr>
              <w:t>5、</w:t>
            </w:r>
            <w:r>
              <w:rPr>
                <w:rFonts w:hint="eastAsia" w:ascii="方正仿宋_GBK" w:hAnsi="宋体" w:eastAsia="方正仿宋_GBK" w:cs="宋体"/>
                <w:color w:val="000000" w:themeColor="text1"/>
                <w:kern w:val="0"/>
                <w:sz w:val="30"/>
                <w:szCs w:val="30"/>
                <w:highlight w:val="none"/>
              </w:rPr>
              <w:t>如新增卡种，根据制作工艺及芯片容量采用相关报价。</w:t>
            </w:r>
          </w:p>
        </w:tc>
      </w:tr>
    </w:tbl>
    <w:p>
      <w:pPr>
        <w:ind w:firstLine="480" w:firstLineChars="150"/>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采购单价含设计、制作、个人化写入、银行卡检测中心检测费用、包装、运输、保险、押运、增值税（税金）、送达安装、售后服务等全部费用，为最终付款价。</w:t>
      </w:r>
    </w:p>
    <w:p>
      <w:pPr>
        <w:rPr>
          <w:rFonts w:ascii="方正黑体_GBK" w:hAnsi="宋体" w:eastAsia="方正黑体_GBK"/>
          <w:b/>
          <w:color w:val="000000" w:themeColor="text1"/>
          <w:sz w:val="32"/>
          <w:szCs w:val="32"/>
          <w:highlight w:val="none"/>
        </w:rPr>
      </w:pPr>
      <w:r>
        <w:rPr>
          <w:rFonts w:hint="eastAsia" w:ascii="方正黑体_GBK" w:hAnsi="宋体" w:eastAsia="方正黑体_GBK"/>
          <w:b/>
          <w:color w:val="000000" w:themeColor="text1"/>
          <w:sz w:val="32"/>
          <w:szCs w:val="32"/>
          <w:highlight w:val="none"/>
        </w:rPr>
        <w:t>三、产品规格、制作要求</w:t>
      </w:r>
    </w:p>
    <w:p>
      <w:pPr>
        <w:ind w:firstLine="640" w:firstLineChars="200"/>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3.1按照甲方要求，乙方提供的金融IC卡及卡片个人化加工制作规格、技术参数及制作运输安全均需严格按照中国人民银行相关要求以及中国银联规定办理。符合国际ISO/IEC7810、7811、</w:t>
      </w:r>
      <w:r>
        <w:rPr>
          <w:rFonts w:hint="eastAsia" w:ascii="方正仿宋_GBK" w:hAnsi="宋体" w:eastAsia="方正仿宋_GBK" w:cs="宋体-18030"/>
          <w:color w:val="000000" w:themeColor="text1"/>
          <w:sz w:val="32"/>
          <w:szCs w:val="32"/>
          <w:highlight w:val="none"/>
        </w:rPr>
        <w:t xml:space="preserve"> ISO7812、ISO7813、JR/T0008、JR/T0009、</w:t>
      </w:r>
      <w:r>
        <w:rPr>
          <w:rFonts w:hint="eastAsia" w:ascii="方正仿宋_GBK" w:hAnsi="宋体" w:eastAsia="方正仿宋_GBK"/>
          <w:color w:val="000000" w:themeColor="text1"/>
          <w:sz w:val="32"/>
          <w:szCs w:val="32"/>
          <w:highlight w:val="none"/>
        </w:rPr>
        <w:t>VISA组织、MASTERCARD组织的最新规范标准以及GB/T19584-2004《银行卡磁条信息格式和使用规范》中国银联制作标准、</w:t>
      </w:r>
      <w:r>
        <w:rPr>
          <w:rFonts w:hint="eastAsia" w:ascii="方正仿宋_GBK" w:hAnsi="宋体" w:eastAsia="方正仿宋_GBK"/>
          <w:b/>
          <w:color w:val="000000" w:themeColor="text1"/>
          <w:sz w:val="32"/>
          <w:szCs w:val="32"/>
          <w:highlight w:val="none"/>
        </w:rPr>
        <w:t>《中国金融集成电路(IC)卡规范 V3.0》</w:t>
      </w:r>
      <w:r>
        <w:rPr>
          <w:rFonts w:hint="eastAsia" w:ascii="方正仿宋_GBK" w:hAnsi="宋体" w:eastAsia="方正仿宋_GBK"/>
          <w:color w:val="000000" w:themeColor="text1"/>
          <w:sz w:val="32"/>
          <w:szCs w:val="32"/>
          <w:highlight w:val="none"/>
        </w:rPr>
        <w:t>和中国银联组织对银联卡的个人化加工制作标准；符合借记卡的卡面要求及安全规格以及行业及发卡行其他标准。规范要求和规定详见《金融IC卡产品技术规范》。</w:t>
      </w:r>
    </w:p>
    <w:p>
      <w:pPr>
        <w:pStyle w:val="21"/>
        <w:jc w:val="left"/>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3.2卡片生产要求：</w:t>
      </w:r>
    </w:p>
    <w:p>
      <w:pPr>
        <w:pStyle w:val="21"/>
        <w:jc w:val="left"/>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3.3 个人化数据交接方式：</w:t>
      </w:r>
    </w:p>
    <w:p>
      <w:pPr>
        <w:pStyle w:val="21"/>
        <w:ind w:firstLine="480" w:firstLineChars="150"/>
        <w:jc w:val="left"/>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 xml:space="preserve"> 3.4 个人化加工完成后，乙方及时将甲方提供的个人化数据资料销毁，并做好销毁记录留存备查。</w:t>
      </w:r>
    </w:p>
    <w:p>
      <w:pPr>
        <w:pStyle w:val="21"/>
        <w:jc w:val="left"/>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3.5生产流程管理：</w:t>
      </w:r>
    </w:p>
    <w:p>
      <w:pPr>
        <w:pStyle w:val="21"/>
        <w:ind w:firstLine="480" w:firstLineChars="150"/>
        <w:jc w:val="left"/>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 xml:space="preserve"> 3.6 个人化加工程序及安全保密措施</w:t>
      </w:r>
    </w:p>
    <w:p>
      <w:pPr>
        <w:pStyle w:val="21"/>
        <w:jc w:val="left"/>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3.7数据传输</w:t>
      </w:r>
    </w:p>
    <w:p>
      <w:pPr>
        <w:pStyle w:val="21"/>
        <w:jc w:val="left"/>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个人化数据按照双方约定的加密传输方式进行数据传输，乙方必须以自有加密机对加密数据解密后进行个人化处理。</w:t>
      </w:r>
    </w:p>
    <w:p>
      <w:pPr>
        <w:pStyle w:val="21"/>
        <w:jc w:val="left"/>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甲方个人化数据和相关的生产数据必须严格保密，乙方应根据甲方要求对个人化数据和相关的生产数据进行管理监控防止泄漏。乙方应遵守重庆银行外包管理规定，严格执行《保密协议》。</w:t>
      </w:r>
    </w:p>
    <w:p>
      <w:pPr>
        <w:pStyle w:val="21"/>
        <w:jc w:val="left"/>
        <w:rPr>
          <w:rFonts w:ascii="方正黑体_GBK" w:hAnsi="宋体" w:eastAsia="方正黑体_GBK"/>
          <w:b/>
          <w:color w:val="000000" w:themeColor="text1"/>
          <w:sz w:val="32"/>
          <w:szCs w:val="32"/>
          <w:highlight w:val="none"/>
        </w:rPr>
      </w:pPr>
      <w:r>
        <w:rPr>
          <w:rFonts w:hint="eastAsia" w:ascii="方正黑体_GBK" w:hAnsi="宋体" w:eastAsia="方正黑体_GBK"/>
          <w:b/>
          <w:color w:val="000000" w:themeColor="text1"/>
          <w:sz w:val="32"/>
          <w:szCs w:val="32"/>
          <w:highlight w:val="none"/>
        </w:rPr>
        <w:t>四、卡面提供及样稿确认</w:t>
      </w:r>
    </w:p>
    <w:p>
      <w:pPr>
        <w:rPr>
          <w:rFonts w:ascii="方正黑体_GBK" w:hAnsi="宋体" w:eastAsia="方正黑体_GBK"/>
          <w:b/>
          <w:color w:val="000000" w:themeColor="text1"/>
          <w:sz w:val="32"/>
          <w:szCs w:val="32"/>
          <w:highlight w:val="none"/>
        </w:rPr>
      </w:pPr>
      <w:r>
        <w:rPr>
          <w:rFonts w:hint="eastAsia" w:ascii="方正黑体_GBK" w:hAnsi="宋体" w:eastAsia="方正黑体_GBK"/>
          <w:b/>
          <w:color w:val="000000" w:themeColor="text1"/>
          <w:sz w:val="32"/>
          <w:szCs w:val="32"/>
          <w:highlight w:val="none"/>
        </w:rPr>
        <w:t>五、 包装</w:t>
      </w:r>
    </w:p>
    <w:p>
      <w:pPr>
        <w:rPr>
          <w:rFonts w:ascii="方正黑体_GBK" w:hAnsi="宋体" w:eastAsia="方正黑体_GBK"/>
          <w:b/>
          <w:color w:val="000000" w:themeColor="text1"/>
          <w:sz w:val="32"/>
          <w:szCs w:val="32"/>
          <w:highlight w:val="none"/>
        </w:rPr>
      </w:pPr>
      <w:r>
        <w:rPr>
          <w:rFonts w:hint="eastAsia" w:ascii="方正黑体_GBK" w:hAnsi="宋体" w:eastAsia="方正黑体_GBK"/>
          <w:b/>
          <w:color w:val="000000" w:themeColor="text1"/>
          <w:sz w:val="32"/>
          <w:szCs w:val="32"/>
          <w:highlight w:val="none"/>
        </w:rPr>
        <w:t>六、材料的提供和检验</w:t>
      </w:r>
    </w:p>
    <w:p>
      <w:pPr>
        <w:rPr>
          <w:rFonts w:ascii="方正黑体_GBK" w:hAnsi="宋体" w:eastAsia="方正黑体_GBK"/>
          <w:b/>
          <w:color w:val="000000" w:themeColor="text1"/>
          <w:sz w:val="32"/>
          <w:szCs w:val="32"/>
          <w:highlight w:val="none"/>
        </w:rPr>
      </w:pPr>
      <w:r>
        <w:rPr>
          <w:rFonts w:hint="eastAsia" w:ascii="方正黑体_GBK" w:hAnsi="宋体" w:eastAsia="方正黑体_GBK"/>
          <w:b/>
          <w:color w:val="000000" w:themeColor="text1"/>
          <w:sz w:val="32"/>
          <w:szCs w:val="32"/>
          <w:highlight w:val="none"/>
        </w:rPr>
        <w:t>七、交货时间、交货地点、交货方式</w:t>
      </w:r>
    </w:p>
    <w:p>
      <w:pPr>
        <w:rPr>
          <w:rFonts w:ascii="方正黑体_GBK" w:hAnsi="宋体" w:eastAsia="方正黑体_GBK"/>
          <w:b/>
          <w:color w:val="000000" w:themeColor="text1"/>
          <w:sz w:val="32"/>
          <w:szCs w:val="32"/>
          <w:highlight w:val="none"/>
        </w:rPr>
      </w:pPr>
      <w:r>
        <w:rPr>
          <w:rFonts w:hint="eastAsia" w:ascii="方正黑体_GBK" w:hAnsi="宋体" w:eastAsia="方正黑体_GBK"/>
          <w:b/>
          <w:color w:val="000000" w:themeColor="text1"/>
          <w:sz w:val="32"/>
          <w:szCs w:val="32"/>
          <w:highlight w:val="none"/>
        </w:rPr>
        <w:t>八、运输方式</w:t>
      </w:r>
    </w:p>
    <w:p>
      <w:pPr>
        <w:rPr>
          <w:rFonts w:ascii="方正黑体_GBK" w:hAnsi="宋体" w:eastAsia="方正黑体_GBK"/>
          <w:color w:val="000000" w:themeColor="text1"/>
          <w:sz w:val="32"/>
          <w:szCs w:val="32"/>
          <w:highlight w:val="none"/>
        </w:rPr>
      </w:pPr>
      <w:r>
        <w:rPr>
          <w:rFonts w:hint="eastAsia" w:ascii="方正黑体_GBK" w:hAnsi="宋体" w:eastAsia="方正黑体_GBK"/>
          <w:b/>
          <w:color w:val="000000" w:themeColor="text1"/>
          <w:sz w:val="32"/>
          <w:szCs w:val="32"/>
          <w:highlight w:val="none"/>
        </w:rPr>
        <w:t>九、运输保险</w:t>
      </w:r>
    </w:p>
    <w:p>
      <w:pPr>
        <w:ind w:firstLine="640" w:firstLineChars="200"/>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由乙方按该批货款金额投保   %的运输一切保险。</w:t>
      </w:r>
    </w:p>
    <w:p>
      <w:pPr>
        <w:rPr>
          <w:rFonts w:ascii="方正黑体_GBK" w:hAnsi="宋体" w:eastAsia="方正黑体_GBK"/>
          <w:b/>
          <w:color w:val="000000" w:themeColor="text1"/>
          <w:sz w:val="32"/>
          <w:szCs w:val="32"/>
          <w:highlight w:val="none"/>
        </w:rPr>
      </w:pPr>
      <w:r>
        <w:rPr>
          <w:rFonts w:hint="eastAsia" w:ascii="方正黑体_GBK" w:hAnsi="宋体" w:eastAsia="方正黑体_GBK"/>
          <w:b/>
          <w:color w:val="000000" w:themeColor="text1"/>
          <w:sz w:val="32"/>
          <w:szCs w:val="32"/>
          <w:highlight w:val="none"/>
        </w:rPr>
        <w:t>十、服务水平要求</w:t>
      </w:r>
    </w:p>
    <w:p>
      <w:pPr>
        <w:ind w:firstLine="640" w:firstLineChars="200"/>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 xml:space="preserve">10.1 服务内容及可用性 </w:t>
      </w:r>
    </w:p>
    <w:p>
      <w:pPr>
        <w:ind w:firstLine="640" w:firstLineChars="200"/>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10.2 服务的时效</w:t>
      </w:r>
    </w:p>
    <w:p>
      <w:pPr>
        <w:ind w:firstLine="640" w:firstLineChars="200"/>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10.3 快速的服务响应</w:t>
      </w:r>
    </w:p>
    <w:p>
      <w:pPr>
        <w:ind w:firstLine="640" w:firstLineChars="200"/>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（1）任务需求响应</w:t>
      </w:r>
    </w:p>
    <w:p>
      <w:pPr>
        <w:ind w:firstLine="640" w:firstLineChars="200"/>
        <w:rPr>
          <w:rFonts w:ascii="方正仿宋_GBK" w:hAnsi="宋体" w:eastAsia="方正仿宋_GBK" w:cs="宋体"/>
          <w:color w:val="000000" w:themeColor="text1"/>
          <w:sz w:val="32"/>
          <w:szCs w:val="32"/>
          <w:highlight w:val="none"/>
        </w:rPr>
      </w:pPr>
      <w:r>
        <w:rPr>
          <w:rFonts w:hint="eastAsia" w:ascii="方正仿宋_GBK" w:hAnsi="宋体" w:eastAsia="方正仿宋_GBK" w:cs="宋体"/>
          <w:color w:val="000000" w:themeColor="text1"/>
          <w:sz w:val="32"/>
          <w:szCs w:val="32"/>
          <w:highlight w:val="none"/>
        </w:rPr>
        <w:t>（2）任务完成响应</w:t>
      </w:r>
    </w:p>
    <w:p>
      <w:pPr>
        <w:ind w:firstLine="640" w:firstLineChars="200"/>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（3）故障处置响应</w:t>
      </w:r>
    </w:p>
    <w:p>
      <w:pPr>
        <w:ind w:firstLine="640" w:firstLineChars="200"/>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10.4  售后服务</w:t>
      </w:r>
    </w:p>
    <w:p>
      <w:pPr>
        <w:ind w:firstLine="640" w:firstLineChars="200"/>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协议期满金融IC卡数据仍在十年保存期内，乙方应向甲方提供7*24小时电话支持、远程技术支持、现场故障解决等服务。</w:t>
      </w:r>
    </w:p>
    <w:p>
      <w:pPr>
        <w:ind w:firstLine="640" w:firstLineChars="200"/>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10.5 服务的机密性和完整性要求</w:t>
      </w:r>
    </w:p>
    <w:p>
      <w:pPr>
        <w:ind w:firstLine="640" w:firstLineChars="200"/>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10.6 服务变更的要求</w:t>
      </w:r>
    </w:p>
    <w:p>
      <w:pPr>
        <w:rPr>
          <w:rFonts w:ascii="方正黑体_GBK" w:hAnsi="宋体" w:eastAsia="方正黑体_GBK"/>
          <w:color w:val="000000" w:themeColor="text1"/>
          <w:sz w:val="32"/>
          <w:szCs w:val="32"/>
          <w:highlight w:val="none"/>
        </w:rPr>
      </w:pPr>
      <w:r>
        <w:rPr>
          <w:rFonts w:hint="eastAsia" w:ascii="方正黑体_GBK" w:hAnsi="宋体" w:eastAsia="方正黑体_GBK"/>
          <w:b/>
          <w:color w:val="000000" w:themeColor="text1"/>
          <w:sz w:val="32"/>
          <w:szCs w:val="32"/>
          <w:highlight w:val="none"/>
        </w:rPr>
        <w:t>十一、产品验收标准、验收方法</w:t>
      </w:r>
    </w:p>
    <w:p>
      <w:pPr>
        <w:ind w:firstLine="640" w:firstLineChars="200"/>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11.1 产品的验收标准：</w:t>
      </w:r>
    </w:p>
    <w:p>
      <w:pPr>
        <w:ind w:firstLine="640" w:firstLineChars="200"/>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11.2</w:t>
      </w:r>
      <w:r>
        <w:rPr>
          <w:rFonts w:hint="eastAsia" w:ascii="方正仿宋_GBK" w:hAnsi="宋体" w:eastAsia="方正仿宋_GBK" w:cs="宋体-18030"/>
          <w:color w:val="000000" w:themeColor="text1"/>
          <w:sz w:val="32"/>
          <w:szCs w:val="32"/>
          <w:highlight w:val="none"/>
        </w:rPr>
        <w:t>甲方可以随时对乙方的个人化生产流程进行检查和监督，检查的依据与标准需符合如VISA、MC、CUP等相关安全组织的安全规则与标准。</w:t>
      </w:r>
    </w:p>
    <w:p>
      <w:pPr>
        <w:ind w:firstLine="640" w:firstLineChars="200"/>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11.3乙方缴纳的履约保证金自采购协议执行期满后壹年，无售后质量问题全额退还乙方，有违约情况发生，将扣除违约金后退还履约保证金余额。</w:t>
      </w:r>
    </w:p>
    <w:p>
      <w:pPr>
        <w:rPr>
          <w:rFonts w:ascii="方正黑体_GBK" w:hAnsi="宋体" w:eastAsia="方正黑体_GBK"/>
          <w:color w:val="000000" w:themeColor="text1"/>
          <w:sz w:val="32"/>
          <w:szCs w:val="32"/>
          <w:highlight w:val="none"/>
        </w:rPr>
      </w:pPr>
      <w:r>
        <w:rPr>
          <w:rFonts w:hint="eastAsia" w:ascii="方正黑体_GBK" w:hAnsi="宋体" w:eastAsia="方正黑体_GBK"/>
          <w:b/>
          <w:color w:val="000000" w:themeColor="text1"/>
          <w:sz w:val="32"/>
          <w:szCs w:val="32"/>
          <w:highlight w:val="none"/>
        </w:rPr>
        <w:t>十二、付款方式</w:t>
      </w:r>
    </w:p>
    <w:p>
      <w:pPr>
        <w:ind w:firstLine="640" w:firstLineChars="200"/>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按招标文件相关规定执行。</w:t>
      </w:r>
    </w:p>
    <w:p>
      <w:pPr>
        <w:rPr>
          <w:rFonts w:ascii="方正黑体_GBK" w:hAnsi="宋体" w:eastAsia="方正黑体_GBK"/>
          <w:b/>
          <w:color w:val="000000" w:themeColor="text1"/>
          <w:sz w:val="32"/>
          <w:szCs w:val="32"/>
          <w:highlight w:val="none"/>
        </w:rPr>
      </w:pPr>
      <w:r>
        <w:rPr>
          <w:rFonts w:hint="eastAsia" w:ascii="方正黑体_GBK" w:hAnsi="宋体" w:eastAsia="方正黑体_GBK"/>
          <w:b/>
          <w:color w:val="000000" w:themeColor="text1"/>
          <w:sz w:val="32"/>
          <w:szCs w:val="32"/>
          <w:highlight w:val="none"/>
        </w:rPr>
        <w:t>十三、货物交接</w:t>
      </w:r>
    </w:p>
    <w:p>
      <w:pPr>
        <w:rPr>
          <w:rFonts w:ascii="方正黑体_GBK" w:hAnsi="宋体" w:eastAsia="方正黑体_GBK"/>
          <w:b/>
          <w:color w:val="000000" w:themeColor="text1"/>
          <w:sz w:val="32"/>
          <w:szCs w:val="32"/>
          <w:highlight w:val="none"/>
        </w:rPr>
      </w:pPr>
      <w:r>
        <w:rPr>
          <w:rFonts w:hint="eastAsia" w:ascii="方正黑体_GBK" w:hAnsi="宋体" w:eastAsia="方正黑体_GBK"/>
          <w:b/>
          <w:color w:val="000000" w:themeColor="text1"/>
          <w:sz w:val="32"/>
          <w:szCs w:val="32"/>
          <w:highlight w:val="none"/>
        </w:rPr>
        <w:t>十四</w:t>
      </w:r>
      <w:r>
        <w:rPr>
          <w:rFonts w:hint="eastAsia" w:ascii="方正黑体_GBK" w:hAnsi="宋体" w:eastAsia="方正黑体_GBK"/>
          <w:color w:val="000000" w:themeColor="text1"/>
          <w:sz w:val="32"/>
          <w:szCs w:val="32"/>
          <w:highlight w:val="none"/>
        </w:rPr>
        <w:t>、</w:t>
      </w:r>
      <w:r>
        <w:rPr>
          <w:rFonts w:hint="eastAsia" w:ascii="方正黑体_GBK" w:hAnsi="宋体" w:eastAsia="方正黑体_GBK"/>
          <w:b/>
          <w:color w:val="000000" w:themeColor="text1"/>
          <w:sz w:val="32"/>
          <w:szCs w:val="32"/>
          <w:highlight w:val="none"/>
        </w:rPr>
        <w:t>双方责任</w:t>
      </w:r>
    </w:p>
    <w:p>
      <w:pPr>
        <w:ind w:firstLine="640" w:firstLineChars="200"/>
        <w:rPr>
          <w:rFonts w:ascii="方正仿宋_GBK" w:hAnsi="宋体" w:eastAsia="方正仿宋_GBK"/>
          <w:b/>
          <w:color w:val="000000" w:themeColor="text1"/>
          <w:sz w:val="32"/>
          <w:szCs w:val="32"/>
          <w:highlight w:val="none"/>
        </w:rPr>
      </w:pPr>
      <w:r>
        <w:rPr>
          <w:rFonts w:hint="eastAsia" w:ascii="方正仿宋_GBK" w:hAnsi="宋体" w:eastAsia="方正仿宋_GBK"/>
          <w:b/>
          <w:color w:val="000000" w:themeColor="text1"/>
          <w:sz w:val="32"/>
          <w:szCs w:val="32"/>
          <w:highlight w:val="none"/>
        </w:rPr>
        <w:t>14.1</w:t>
      </w:r>
      <w:r>
        <w:rPr>
          <w:rFonts w:hint="eastAsia" w:ascii="方正仿宋_GBK" w:hAnsi="宋体" w:eastAsia="方正仿宋_GBK"/>
          <w:b/>
          <w:bCs/>
          <w:color w:val="000000" w:themeColor="text1"/>
          <w:sz w:val="32"/>
          <w:szCs w:val="32"/>
          <w:highlight w:val="none"/>
        </w:rPr>
        <w:t>甲方</w:t>
      </w:r>
      <w:r>
        <w:rPr>
          <w:rFonts w:hint="eastAsia" w:ascii="方正仿宋_GBK" w:hAnsi="宋体" w:eastAsia="方正仿宋_GBK"/>
          <w:b/>
          <w:color w:val="000000" w:themeColor="text1"/>
          <w:sz w:val="32"/>
          <w:szCs w:val="32"/>
          <w:highlight w:val="none"/>
        </w:rPr>
        <w:t>验货及付款责任</w:t>
      </w:r>
    </w:p>
    <w:p>
      <w:pPr>
        <w:ind w:firstLine="640" w:firstLineChars="200"/>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（1）在乙方生产的过程中，甲方不得中途擅自变更对产品的要求。</w:t>
      </w:r>
    </w:p>
    <w:p>
      <w:pPr>
        <w:ind w:firstLine="640" w:firstLineChars="200"/>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（2）甲方应按协议约定接受产品并对产品进行验收。</w:t>
      </w:r>
    </w:p>
    <w:p>
      <w:pPr>
        <w:ind w:firstLine="640" w:firstLineChars="200"/>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（3）甲方应按协议约定的时间和金额向乙方支付货款。</w:t>
      </w:r>
    </w:p>
    <w:p>
      <w:pPr>
        <w:ind w:left="-105" w:right="-214" w:firstLine="707" w:firstLineChars="221"/>
        <w:rPr>
          <w:rFonts w:ascii="方正仿宋_GBK" w:hAnsi="宋体" w:eastAsia="方正仿宋_GBK"/>
          <w:b/>
          <w:color w:val="000000" w:themeColor="text1"/>
          <w:sz w:val="32"/>
          <w:szCs w:val="32"/>
          <w:highlight w:val="none"/>
        </w:rPr>
      </w:pPr>
      <w:r>
        <w:rPr>
          <w:rFonts w:hint="eastAsia" w:ascii="方正仿宋_GBK" w:hAnsi="宋体" w:eastAsia="方正仿宋_GBK"/>
          <w:color w:val="000000" w:themeColor="text1"/>
          <w:sz w:val="32"/>
          <w:szCs w:val="32"/>
          <w:highlight w:val="none"/>
        </w:rPr>
        <w:t>（4）甲方应遵守协议中规定的保密条款</w:t>
      </w:r>
    </w:p>
    <w:p>
      <w:pPr>
        <w:ind w:firstLine="640" w:firstLineChars="200"/>
        <w:rPr>
          <w:rFonts w:ascii="方正仿宋_GBK" w:hAnsi="宋体" w:eastAsia="方正仿宋_GBK"/>
          <w:b/>
          <w:bCs/>
          <w:color w:val="000000" w:themeColor="text1"/>
          <w:sz w:val="32"/>
          <w:szCs w:val="32"/>
          <w:highlight w:val="none"/>
        </w:rPr>
      </w:pPr>
      <w:r>
        <w:rPr>
          <w:rFonts w:hint="eastAsia" w:ascii="方正仿宋_GBK" w:hAnsi="宋体" w:eastAsia="方正仿宋_GBK"/>
          <w:b/>
          <w:bCs/>
          <w:color w:val="000000" w:themeColor="text1"/>
          <w:sz w:val="32"/>
          <w:szCs w:val="32"/>
          <w:highlight w:val="none"/>
        </w:rPr>
        <w:t>14.2 乙方服务质量责任</w:t>
      </w:r>
    </w:p>
    <w:p>
      <w:pPr>
        <w:ind w:firstLine="640" w:firstLineChars="200"/>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（1）乙方应按协议约定的质量标准、数量及交货时间向甲方交货。</w:t>
      </w:r>
    </w:p>
    <w:p>
      <w:pPr>
        <w:ind w:firstLine="640" w:firstLineChars="200"/>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（2）乙方应按协议约定期限对产品承担保修及更换责任。</w:t>
      </w:r>
    </w:p>
    <w:p>
      <w:pPr>
        <w:ind w:firstLine="640" w:firstLineChars="200"/>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（3）乙方不得将样稿、底卡或卡号数据泄露给任何第三方。乙方需禁止其授权人员将样稿、底卡或卡号数据泄露给其非授权人员。</w:t>
      </w:r>
    </w:p>
    <w:p>
      <w:pPr>
        <w:ind w:left="-105" w:leftChars="-50" w:right="-214" w:firstLine="864" w:firstLineChars="270"/>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（4）乙方不得将印刷过程中的半成品流入社会。</w:t>
      </w:r>
    </w:p>
    <w:p>
      <w:pPr>
        <w:ind w:firstLine="640" w:firstLineChars="200"/>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（5）在产品运输途中，乙方必须以确保甲方货物安全为前提，保证产品保管妥善，运送安全及时。</w:t>
      </w:r>
    </w:p>
    <w:p>
      <w:pPr>
        <w:ind w:firstLine="640" w:firstLineChars="200"/>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（6）甲方保留对乙方的追索权，如因乙方责任造成的甲方之所有损失，乙方须向甲方全额赔偿。</w:t>
      </w:r>
    </w:p>
    <w:p>
      <w:pPr>
        <w:ind w:firstLine="640" w:firstLineChars="200"/>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（7）乙方保证能够按要求向甲方提供经常的技术支持，包括：提供咨询热线电话，随时为甲方答疑；根据甲方需求及要求，免费为甲方提供有关专题培训。</w:t>
      </w:r>
    </w:p>
    <w:p>
      <w:pPr>
        <w:ind w:firstLine="640" w:firstLineChars="200"/>
        <w:rPr>
          <w:rFonts w:ascii="方正仿宋_GBK" w:hAnsi="宋体" w:eastAsia="方正仿宋_GBK"/>
          <w:b/>
          <w:color w:val="000000" w:themeColor="text1"/>
          <w:sz w:val="32"/>
          <w:szCs w:val="32"/>
          <w:highlight w:val="none"/>
        </w:rPr>
      </w:pPr>
      <w:r>
        <w:rPr>
          <w:rFonts w:hint="eastAsia" w:ascii="方正仿宋_GBK" w:hAnsi="宋体" w:eastAsia="方正仿宋_GBK"/>
          <w:b/>
          <w:color w:val="000000" w:themeColor="text1"/>
          <w:sz w:val="32"/>
          <w:szCs w:val="32"/>
          <w:highlight w:val="none"/>
        </w:rPr>
        <w:t>14.3 安全违约责任</w:t>
      </w:r>
    </w:p>
    <w:p>
      <w:pPr>
        <w:ind w:firstLine="640" w:firstLineChars="200"/>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（1）甲乙双方应遵守协议中规定的保密条款。甲乙双方违反本协议、导致相关信息泄漏的，除应立即采取措施停止泄密行为，减少泄密造成损失，并对损失进行赔偿外，应当向另一方支付该批货款总金额   %的违约金。</w:t>
      </w:r>
    </w:p>
    <w:p>
      <w:pPr>
        <w:ind w:firstLine="640" w:firstLineChars="200"/>
        <w:jc w:val="left"/>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2）乙方应对本协议的内容保密，未经甲方书面同意，乙方不得将本协议、协议附件、与协议有关的计划和项目书及资料等泄露给其他单位和个人。如有违反，给甲方造成损失，乙方应承担赔偿责任，对此甲方有权解除本协议。</w:t>
      </w:r>
    </w:p>
    <w:p>
      <w:pPr>
        <w:ind w:firstLine="480" w:firstLineChars="150"/>
        <w:jc w:val="left"/>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3）乙方未按本协议约定使用保密信息或者泄露保密信息，甲方有权终止双方的合作项目并要求乙方赔偿损失；如乙方及其工作人员未按本协议约定使用保密信息或者泄露保密信息而触犯有关法律，甲方有权依法请求有关部门追究乙方的民事责任。</w:t>
      </w:r>
    </w:p>
    <w:p>
      <w:pPr>
        <w:ind w:firstLine="480" w:firstLineChars="150"/>
        <w:jc w:val="left"/>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4）乙方需承诺保障客户信息的安全，当客户信息不安全或客户权利受到影响时，甲方有权随时终止外包协议。如违反本协议规定的安全保密要求及保密协议，给甲方以及甲方客户的信息安全造成不良后果或客户权利受到影响，乙方将赔偿甲方及客户的所有损失，包括但不限于甲方经济和声誉损失、甲方客户提出的经济赔偿等。甲方将扣除乙方全部履约保证金，保持追究乙方民事责任的权利，并因此解除本协议。如甲方因此受到第三方法律指控，甲方将拥有追索权，由此造成的甲方所有损失，乙方须向甲方全额赔偿</w:t>
      </w:r>
    </w:p>
    <w:p>
      <w:pPr>
        <w:ind w:firstLine="480" w:firstLineChars="150"/>
        <w:jc w:val="left"/>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（5）保密责任不因本协议履行完毕而解除。</w:t>
      </w:r>
    </w:p>
    <w:p>
      <w:pPr>
        <w:spacing w:beforeLines="30"/>
        <w:ind w:firstLine="640" w:firstLineChars="200"/>
        <w:rPr>
          <w:rFonts w:ascii="方正仿宋_GBK" w:hAnsi="宋体" w:eastAsia="方正仿宋_GBK"/>
          <w:b/>
          <w:color w:val="000000" w:themeColor="text1"/>
          <w:sz w:val="32"/>
          <w:szCs w:val="32"/>
          <w:highlight w:val="none"/>
        </w:rPr>
      </w:pPr>
      <w:r>
        <w:rPr>
          <w:rFonts w:hint="eastAsia" w:ascii="方正仿宋_GBK" w:hAnsi="宋体" w:eastAsia="方正仿宋_GBK"/>
          <w:b/>
          <w:color w:val="000000" w:themeColor="text1"/>
          <w:sz w:val="32"/>
          <w:szCs w:val="32"/>
          <w:highlight w:val="none"/>
        </w:rPr>
        <w:t>14.4 保证服务资质违约责任</w:t>
      </w:r>
    </w:p>
    <w:p>
      <w:pPr>
        <w:ind w:firstLine="640" w:firstLineChars="200"/>
        <w:rPr>
          <w:rFonts w:ascii="方正仿宋_GBK" w:hAnsi="宋体" w:eastAsia="方正仿宋_GBK" w:cs="宋体-18030"/>
          <w:color w:val="000000" w:themeColor="text1"/>
          <w:sz w:val="32"/>
          <w:szCs w:val="32"/>
          <w:highlight w:val="none"/>
        </w:rPr>
      </w:pPr>
      <w:r>
        <w:rPr>
          <w:rFonts w:hint="eastAsia" w:ascii="方正仿宋_GBK" w:hAnsi="宋体" w:eastAsia="方正仿宋_GBK" w:cs="宋体-18030"/>
          <w:color w:val="000000" w:themeColor="text1"/>
          <w:sz w:val="32"/>
          <w:szCs w:val="32"/>
          <w:highlight w:val="none"/>
        </w:rPr>
        <w:t>乙方应保证其拥有</w:t>
      </w:r>
      <w:r>
        <w:rPr>
          <w:rFonts w:hint="eastAsia" w:ascii="方正仿宋_GBK" w:hAnsi="宋体" w:eastAsia="方正仿宋_GBK"/>
          <w:color w:val="000000" w:themeColor="text1"/>
          <w:sz w:val="32"/>
          <w:szCs w:val="32"/>
          <w:highlight w:val="none"/>
        </w:rPr>
        <w:t>中国银联、VISA组织、MASTERCARD组织等组织或机构认可的</w:t>
      </w:r>
      <w:r>
        <w:rPr>
          <w:rFonts w:hint="eastAsia" w:ascii="方正仿宋_GBK" w:hAnsi="宋体" w:eastAsia="方正仿宋_GBK" w:cs="宋体-18030"/>
          <w:color w:val="000000" w:themeColor="text1"/>
          <w:sz w:val="32"/>
          <w:szCs w:val="32"/>
          <w:highlight w:val="none"/>
        </w:rPr>
        <w:t>借、贷记卡个人化服务资质,并承诺该资质在合同有效期内真实、有效。否则，应承担为此给甲方所造成损失的赔偿责任，且甲方有权因此终止协议。</w:t>
      </w:r>
    </w:p>
    <w:p>
      <w:pPr>
        <w:ind w:firstLine="640" w:firstLineChars="200"/>
        <w:rPr>
          <w:rFonts w:ascii="方正仿宋_GBK" w:hAnsi="宋体" w:eastAsia="方正仿宋_GBK" w:cs="宋体-18030"/>
          <w:b/>
          <w:color w:val="000000" w:themeColor="text1"/>
          <w:sz w:val="32"/>
          <w:szCs w:val="32"/>
          <w:highlight w:val="none"/>
        </w:rPr>
      </w:pPr>
      <w:r>
        <w:rPr>
          <w:rFonts w:hint="eastAsia" w:ascii="方正仿宋_GBK" w:hAnsi="宋体" w:eastAsia="方正仿宋_GBK" w:cs="宋体-18030"/>
          <w:b/>
          <w:color w:val="000000" w:themeColor="text1"/>
          <w:sz w:val="32"/>
          <w:szCs w:val="32"/>
          <w:highlight w:val="none"/>
        </w:rPr>
        <w:t>14.5 知识产权违约责任</w:t>
      </w:r>
    </w:p>
    <w:p>
      <w:pPr>
        <w:ind w:firstLine="640" w:firstLineChars="200"/>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甲方在中华人民共和国境内使用乙方提供的货物及服务时免受第三方提出的侵犯其专利权或其它知识产权的起诉。如果第三方提出侵权指控，乙方应承担由此而引起的一切法律责任和费用。</w:t>
      </w:r>
    </w:p>
    <w:p>
      <w:pPr>
        <w:rPr>
          <w:rFonts w:ascii="方正黑体_GBK" w:hAnsi="宋体" w:eastAsia="方正黑体_GBK"/>
          <w:b/>
          <w:color w:val="000000" w:themeColor="text1"/>
          <w:sz w:val="32"/>
          <w:szCs w:val="32"/>
          <w:highlight w:val="none"/>
        </w:rPr>
      </w:pPr>
      <w:r>
        <w:rPr>
          <w:rFonts w:hint="eastAsia" w:ascii="方正黑体_GBK" w:hAnsi="宋体" w:eastAsia="方正黑体_GBK"/>
          <w:b/>
          <w:color w:val="000000" w:themeColor="text1"/>
          <w:sz w:val="32"/>
          <w:szCs w:val="32"/>
          <w:highlight w:val="none"/>
        </w:rPr>
        <w:t>十五、安全保密条款</w:t>
      </w:r>
    </w:p>
    <w:p>
      <w:pPr>
        <w:ind w:firstLine="480" w:firstLineChars="150"/>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15.1乙方不得在本协议允许范围外使用或者披露甲方的信息。</w:t>
      </w:r>
    </w:p>
    <w:p>
      <w:pPr>
        <w:ind w:firstLine="480" w:firstLineChars="150"/>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15.2乙方不得以甲方的名义开展活动。</w:t>
      </w:r>
    </w:p>
    <w:p>
      <w:pPr>
        <w:ind w:firstLine="480" w:firstLineChars="150"/>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15.3 乙方接触甲方信息时，需满足安全保密相关条款的要求。具体措施按照双方签订的保密协议执行。</w:t>
      </w:r>
    </w:p>
    <w:p>
      <w:pPr>
        <w:ind w:firstLine="480" w:firstLineChars="150"/>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15.4 发生银监会规定的信息科技突发事件，或发生可能引起系统性、区域性银行业信息科技风险类突发事件时，乙方应及时向甲方报告，报告事项包括事件的影响以及处置和纠正措施。</w:t>
      </w:r>
    </w:p>
    <w:p>
      <w:pPr>
        <w:rPr>
          <w:rFonts w:ascii="方正黑体_GBK" w:hAnsi="宋体" w:eastAsia="方正黑体_GBK"/>
          <w:b/>
          <w:color w:val="000000" w:themeColor="text1"/>
          <w:sz w:val="32"/>
          <w:szCs w:val="32"/>
          <w:highlight w:val="none"/>
        </w:rPr>
      </w:pPr>
      <w:r>
        <w:rPr>
          <w:rFonts w:hint="eastAsia" w:ascii="方正黑体_GBK" w:hAnsi="宋体" w:eastAsia="方正黑体_GBK"/>
          <w:b/>
          <w:color w:val="000000" w:themeColor="text1"/>
          <w:sz w:val="32"/>
          <w:szCs w:val="32"/>
          <w:highlight w:val="none"/>
        </w:rPr>
        <w:t>十六、不可抗力</w:t>
      </w:r>
    </w:p>
    <w:p>
      <w:pPr>
        <w:rPr>
          <w:rFonts w:ascii="方正黑体_GBK" w:hAnsi="宋体" w:eastAsia="方正黑体_GBK"/>
          <w:b/>
          <w:color w:val="000000" w:themeColor="text1"/>
          <w:sz w:val="32"/>
          <w:szCs w:val="32"/>
          <w:highlight w:val="none"/>
        </w:rPr>
      </w:pPr>
      <w:r>
        <w:rPr>
          <w:rFonts w:hint="eastAsia" w:ascii="方正黑体_GBK" w:hAnsi="宋体" w:eastAsia="方正黑体_GBK"/>
          <w:b/>
          <w:color w:val="000000" w:themeColor="text1"/>
          <w:sz w:val="32"/>
          <w:szCs w:val="32"/>
          <w:highlight w:val="none"/>
        </w:rPr>
        <w:t>十七、延期交货处理</w:t>
      </w:r>
    </w:p>
    <w:p>
      <w:pPr>
        <w:rPr>
          <w:rFonts w:ascii="方正黑体_GBK" w:hAnsi="宋体" w:eastAsia="方正黑体_GBK"/>
          <w:b/>
          <w:color w:val="000000" w:themeColor="text1"/>
          <w:sz w:val="32"/>
          <w:szCs w:val="32"/>
          <w:highlight w:val="none"/>
        </w:rPr>
      </w:pPr>
      <w:r>
        <w:rPr>
          <w:rFonts w:hint="eastAsia" w:ascii="方正黑体_GBK" w:hAnsi="宋体" w:eastAsia="方正黑体_GBK"/>
          <w:b/>
          <w:color w:val="000000" w:themeColor="text1"/>
          <w:sz w:val="32"/>
          <w:szCs w:val="32"/>
          <w:highlight w:val="none"/>
        </w:rPr>
        <w:t>十八、争议</w:t>
      </w:r>
    </w:p>
    <w:p>
      <w:pPr>
        <w:ind w:firstLine="640" w:firstLineChars="200"/>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本协议按照中华人民共和国的法律解释执行。</w:t>
      </w:r>
    </w:p>
    <w:p>
      <w:pPr>
        <w:ind w:firstLine="640" w:firstLineChars="200"/>
        <w:rPr>
          <w:rFonts w:ascii="方正仿宋_GBK" w:hAnsi="宋体" w:eastAsia="方正仿宋_GBK"/>
          <w:b/>
          <w:color w:val="000000" w:themeColor="text1"/>
          <w:sz w:val="32"/>
          <w:szCs w:val="32"/>
          <w:highlight w:val="none"/>
        </w:rPr>
      </w:pPr>
      <w:r>
        <w:rPr>
          <w:rFonts w:hint="eastAsia" w:ascii="方正仿宋_GBK" w:hAnsi="宋体" w:eastAsia="方正仿宋_GBK"/>
          <w:color w:val="000000" w:themeColor="text1"/>
          <w:sz w:val="32"/>
          <w:szCs w:val="32"/>
          <w:highlight w:val="none"/>
        </w:rPr>
        <w:t>一切因执行本协议所发生或与本协议有关的争执，双方应友好协商解决，60天内协商不成的，在甲方所在地有管辖权的法院通过诉讼方式解决。</w:t>
      </w:r>
    </w:p>
    <w:p>
      <w:pPr>
        <w:rPr>
          <w:rFonts w:ascii="方正黑体_GBK" w:hAnsi="宋体" w:eastAsia="方正黑体_GBK"/>
          <w:b/>
          <w:color w:val="000000" w:themeColor="text1"/>
          <w:sz w:val="32"/>
          <w:szCs w:val="32"/>
          <w:highlight w:val="none"/>
        </w:rPr>
      </w:pPr>
      <w:r>
        <w:rPr>
          <w:rFonts w:hint="eastAsia" w:ascii="方正黑体_GBK" w:hAnsi="宋体" w:eastAsia="方正黑体_GBK"/>
          <w:b/>
          <w:color w:val="000000" w:themeColor="text1"/>
          <w:sz w:val="32"/>
          <w:szCs w:val="32"/>
          <w:highlight w:val="none"/>
        </w:rPr>
        <w:t>十九、协议生效</w:t>
      </w:r>
    </w:p>
    <w:p>
      <w:pPr>
        <w:rPr>
          <w:rFonts w:ascii="方正黑体_GBK" w:hAnsi="宋体" w:eastAsia="方正黑体_GBK"/>
          <w:b/>
          <w:color w:val="000000" w:themeColor="text1"/>
          <w:sz w:val="32"/>
          <w:szCs w:val="32"/>
          <w:highlight w:val="none"/>
        </w:rPr>
      </w:pPr>
      <w:r>
        <w:rPr>
          <w:rFonts w:hint="eastAsia" w:ascii="方正黑体_GBK" w:hAnsi="宋体" w:eastAsia="方正黑体_GBK"/>
          <w:b/>
          <w:color w:val="000000" w:themeColor="text1"/>
          <w:sz w:val="32"/>
          <w:szCs w:val="32"/>
          <w:highlight w:val="none"/>
        </w:rPr>
        <w:t>二十、协议的变更</w:t>
      </w:r>
    </w:p>
    <w:p>
      <w:pPr>
        <w:rPr>
          <w:rFonts w:ascii="方正黑体_GBK" w:hAnsi="宋体" w:eastAsia="方正黑体_GBK"/>
          <w:b/>
          <w:color w:val="000000" w:themeColor="text1"/>
          <w:sz w:val="32"/>
          <w:szCs w:val="32"/>
          <w:highlight w:val="none"/>
        </w:rPr>
      </w:pPr>
      <w:r>
        <w:rPr>
          <w:rFonts w:hint="eastAsia" w:ascii="方正黑体_GBK" w:hAnsi="宋体" w:eastAsia="方正黑体_GBK"/>
          <w:b/>
          <w:color w:val="000000" w:themeColor="text1"/>
          <w:sz w:val="32"/>
          <w:szCs w:val="32"/>
          <w:highlight w:val="none"/>
        </w:rPr>
        <w:t>二十一、协议的终止</w:t>
      </w:r>
    </w:p>
    <w:p>
      <w:pPr>
        <w:rPr>
          <w:rFonts w:ascii="方正黑体_GBK" w:hAnsi="宋体" w:eastAsia="方正黑体_GBK"/>
          <w:color w:val="000000" w:themeColor="text1"/>
          <w:sz w:val="32"/>
          <w:szCs w:val="32"/>
          <w:highlight w:val="none"/>
        </w:rPr>
      </w:pPr>
      <w:r>
        <w:rPr>
          <w:rFonts w:hint="eastAsia" w:ascii="方正黑体_GBK" w:hAnsi="宋体" w:eastAsia="方正黑体_GBK"/>
          <w:b/>
          <w:color w:val="000000" w:themeColor="text1"/>
          <w:sz w:val="32"/>
          <w:szCs w:val="32"/>
          <w:highlight w:val="none"/>
        </w:rPr>
        <w:t>二十二、通知</w:t>
      </w:r>
    </w:p>
    <w:p>
      <w:pPr>
        <w:rPr>
          <w:rFonts w:ascii="方正黑体_GBK" w:hAnsi="宋体" w:eastAsia="方正黑体_GBK"/>
          <w:b/>
          <w:color w:val="000000" w:themeColor="text1"/>
          <w:sz w:val="32"/>
          <w:szCs w:val="32"/>
          <w:highlight w:val="none"/>
        </w:rPr>
      </w:pPr>
      <w:r>
        <w:rPr>
          <w:rFonts w:hint="eastAsia" w:ascii="方正黑体_GBK" w:hAnsi="宋体" w:eastAsia="方正黑体_GBK"/>
          <w:b/>
          <w:color w:val="000000" w:themeColor="text1"/>
          <w:sz w:val="32"/>
          <w:szCs w:val="32"/>
          <w:highlight w:val="none"/>
        </w:rPr>
        <w:t>二十三、备注</w:t>
      </w:r>
    </w:p>
    <w:p>
      <w:pPr>
        <w:tabs>
          <w:tab w:val="left" w:pos="-720"/>
        </w:tabs>
        <w:suppressAutoHyphens/>
        <w:ind w:firstLine="640" w:firstLineChars="200"/>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本协议一式陆份，甲乙双方各执叁份，具有同等法律效力。</w:t>
      </w:r>
    </w:p>
    <w:p>
      <w:pPr>
        <w:rPr>
          <w:rFonts w:ascii="方正黑体_GBK" w:hAnsi="宋体" w:eastAsia="方正黑体_GBK"/>
          <w:b/>
          <w:color w:val="000000" w:themeColor="text1"/>
          <w:sz w:val="32"/>
          <w:szCs w:val="32"/>
          <w:highlight w:val="none"/>
        </w:rPr>
      </w:pPr>
      <w:r>
        <w:rPr>
          <w:rFonts w:hint="eastAsia" w:ascii="方正黑体_GBK" w:hAnsi="宋体" w:eastAsia="方正黑体_GBK"/>
          <w:b/>
          <w:color w:val="000000" w:themeColor="text1"/>
          <w:sz w:val="32"/>
          <w:szCs w:val="32"/>
          <w:highlight w:val="none"/>
        </w:rPr>
        <w:t>二十四、附则</w:t>
      </w:r>
    </w:p>
    <w:p>
      <w:pPr>
        <w:rPr>
          <w:rFonts w:ascii="方正仿宋_GBK" w:hAnsi="宋体" w:eastAsia="方正仿宋_GBK"/>
          <w:color w:val="000000" w:themeColor="text1"/>
          <w:sz w:val="32"/>
          <w:szCs w:val="32"/>
          <w:highlight w:val="none"/>
        </w:rPr>
      </w:pPr>
    </w:p>
    <w:p>
      <w:pPr>
        <w:rPr>
          <w:rFonts w:ascii="方正仿宋_GBK" w:hAnsi="宋体" w:eastAsia="方正仿宋_GBK"/>
          <w:color w:val="000000" w:themeColor="text1"/>
          <w:sz w:val="32"/>
          <w:szCs w:val="32"/>
          <w:highlight w:val="none"/>
        </w:rPr>
      </w:pPr>
    </w:p>
    <w:p>
      <w:pPr>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 xml:space="preserve">甲方：重庆银行股份有限公司            乙方： </w:t>
      </w:r>
    </w:p>
    <w:p>
      <w:pPr>
        <w:rPr>
          <w:rFonts w:ascii="方正仿宋_GBK" w:hAnsi="宋体" w:eastAsia="方正仿宋_GBK"/>
          <w:color w:val="000000" w:themeColor="text1"/>
          <w:sz w:val="32"/>
          <w:szCs w:val="32"/>
          <w:highlight w:val="none"/>
        </w:rPr>
      </w:pPr>
    </w:p>
    <w:p>
      <w:pPr>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地址：                                地址：</w:t>
      </w:r>
    </w:p>
    <w:p>
      <w:pPr>
        <w:ind w:left="8320" w:hanging="8320" w:hangingChars="2600"/>
        <w:jc w:val="left"/>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 xml:space="preserve">地址：重庆市江北区永平门街6号                                                                                              </w:t>
      </w:r>
    </w:p>
    <w:p>
      <w:pPr>
        <w:rPr>
          <w:rFonts w:ascii="方正仿宋_GBK" w:hAnsi="宋体" w:eastAsia="方正仿宋_GBK"/>
          <w:color w:val="000000" w:themeColor="text1"/>
          <w:sz w:val="32"/>
          <w:szCs w:val="32"/>
          <w:highlight w:val="none"/>
        </w:rPr>
      </w:pPr>
    </w:p>
    <w:p>
      <w:pPr>
        <w:rPr>
          <w:rFonts w:ascii="方正仿宋_GBK" w:hAnsi="宋体" w:eastAsia="方正仿宋_GBK"/>
          <w:color w:val="000000" w:themeColor="text1"/>
          <w:sz w:val="32"/>
          <w:szCs w:val="32"/>
          <w:highlight w:val="none"/>
        </w:rPr>
      </w:pPr>
      <w:r>
        <w:rPr>
          <w:rFonts w:hint="eastAsia" w:ascii="方正仿宋_GBK" w:hAnsi="宋体" w:eastAsia="方正仿宋_GBK"/>
          <w:color w:val="000000" w:themeColor="text1"/>
          <w:sz w:val="32"/>
          <w:szCs w:val="32"/>
          <w:highlight w:val="none"/>
        </w:rPr>
        <w:t>签约日期：　　　　　　　　            签约日期：</w:t>
      </w:r>
    </w:p>
    <w:p>
      <w:pPr>
        <w:snapToGrid w:val="0"/>
        <w:spacing w:line="360" w:lineRule="auto"/>
        <w:rPr>
          <w:rFonts w:ascii="方正仿宋_GBK" w:hAnsi="宋体" w:eastAsia="方正仿宋_GBK"/>
          <w:color w:val="000000" w:themeColor="text1"/>
          <w:sz w:val="32"/>
          <w:szCs w:val="32"/>
          <w:highlight w:val="none"/>
          <w:u w:val="single"/>
        </w:rPr>
      </w:pPr>
    </w:p>
    <w:p>
      <w:pPr>
        <w:snapToGrid w:val="0"/>
        <w:spacing w:line="360" w:lineRule="auto"/>
        <w:rPr>
          <w:rFonts w:ascii="方正仿宋_GBK" w:hAnsi="宋体" w:eastAsia="方正仿宋_GBK"/>
          <w:color w:val="000000" w:themeColor="text1"/>
          <w:sz w:val="32"/>
          <w:szCs w:val="32"/>
          <w:highlight w:val="none"/>
          <w:u w:val="single"/>
        </w:rPr>
      </w:pPr>
    </w:p>
    <w:p>
      <w:pPr>
        <w:rPr>
          <w:rFonts w:ascii="宋体" w:hAnsi="宋体"/>
          <w:color w:val="000000" w:themeColor="text1"/>
          <w:highlight w:val="none"/>
        </w:rPr>
      </w:pPr>
    </w:p>
    <w:p>
      <w:pPr>
        <w:rPr>
          <w:rFonts w:ascii="宋体" w:hAnsi="宋体"/>
          <w:b/>
          <w:color w:val="000000" w:themeColor="text1"/>
          <w:sz w:val="32"/>
          <w:highlight w:val="none"/>
        </w:rPr>
      </w:pPr>
      <w:r>
        <w:rPr>
          <w:rFonts w:hint="eastAsia" w:ascii="宋体" w:hAnsi="宋体"/>
          <w:b/>
          <w:color w:val="000000" w:themeColor="text1"/>
          <w:sz w:val="32"/>
          <w:highlight w:val="none"/>
        </w:rPr>
        <w:br w:type="page"/>
      </w:r>
    </w:p>
    <w:p>
      <w:pPr>
        <w:widowControl/>
        <w:jc w:val="left"/>
        <w:rPr>
          <w:rFonts w:ascii="Calibri" w:hAnsi="Calibri" w:eastAsia="黑体" w:cs="Times New Roman"/>
          <w:b/>
          <w:bCs/>
          <w:color w:val="000000" w:themeColor="text1"/>
          <w:kern w:val="44"/>
          <w:sz w:val="44"/>
          <w:szCs w:val="44"/>
          <w:highlight w:val="none"/>
        </w:rPr>
      </w:pPr>
    </w:p>
    <w:p>
      <w:pPr>
        <w:keepNext/>
        <w:keepLines/>
        <w:spacing w:line="440" w:lineRule="exact"/>
        <w:ind w:firstLine="2650" w:firstLineChars="600"/>
        <w:outlineLvl w:val="0"/>
        <w:rPr>
          <w:rFonts w:ascii="Calibri" w:hAnsi="Calibri" w:eastAsia="黑体" w:cs="Times New Roman"/>
          <w:b/>
          <w:bCs/>
          <w:color w:val="000000" w:themeColor="text1"/>
          <w:kern w:val="44"/>
          <w:sz w:val="44"/>
          <w:szCs w:val="44"/>
          <w:highlight w:val="none"/>
        </w:rPr>
      </w:pPr>
      <w:r>
        <w:rPr>
          <w:rFonts w:ascii="Calibri" w:hAnsi="Calibri" w:eastAsia="黑体" w:cs="Times New Roman"/>
          <w:b/>
          <w:bCs/>
          <w:color w:val="000000" w:themeColor="text1"/>
          <w:kern w:val="44"/>
          <w:sz w:val="44"/>
          <w:szCs w:val="44"/>
          <w:highlight w:val="none"/>
        </w:rPr>
        <w:t>第五章</w:t>
      </w:r>
      <w:bookmarkStart w:id="133" w:name="OLE_LINK3"/>
      <w:r>
        <w:rPr>
          <w:rFonts w:ascii="Calibri" w:hAnsi="Calibri" w:eastAsia="黑体" w:cs="Times New Roman"/>
          <w:b/>
          <w:bCs/>
          <w:color w:val="000000" w:themeColor="text1"/>
          <w:kern w:val="44"/>
          <w:sz w:val="44"/>
          <w:szCs w:val="44"/>
          <w:highlight w:val="none"/>
        </w:rPr>
        <w:t>项目需求</w:t>
      </w:r>
      <w:bookmarkEnd w:id="132"/>
      <w:bookmarkEnd w:id="133"/>
    </w:p>
    <w:p>
      <w:pPr>
        <w:spacing w:line="440" w:lineRule="exact"/>
        <w:jc w:val="center"/>
        <w:rPr>
          <w:rFonts w:ascii="Times New Roman" w:hAnsi="Times New Roman" w:eastAsia="宋体" w:cs="Times New Roman"/>
          <w:color w:val="000000" w:themeColor="text1"/>
          <w:highlight w:val="none"/>
        </w:rPr>
      </w:pPr>
    </w:p>
    <w:p>
      <w:pPr>
        <w:keepNext/>
        <w:keepLines/>
        <w:spacing w:line="400" w:lineRule="exact"/>
        <w:jc w:val="center"/>
        <w:outlineLvl w:val="0"/>
        <w:rPr>
          <w:rFonts w:ascii="Times New Roman" w:hAnsi="Times New Roman" w:eastAsia="黑体" w:cs="Times New Roman"/>
          <w:b/>
          <w:bCs/>
          <w:color w:val="000000" w:themeColor="text1"/>
          <w:kern w:val="44"/>
          <w:szCs w:val="21"/>
          <w:highlight w:val="none"/>
        </w:rPr>
      </w:pPr>
      <w:r>
        <w:rPr>
          <w:rFonts w:ascii="Calibri" w:hAnsi="Calibri" w:eastAsia="黑体" w:cs="Times New Roman"/>
          <w:b/>
          <w:bCs/>
          <w:color w:val="000000" w:themeColor="text1"/>
          <w:kern w:val="44"/>
          <w:sz w:val="32"/>
          <w:szCs w:val="32"/>
          <w:highlight w:val="none"/>
        </w:rPr>
        <w:t>第一节   货物规格型号及数量</w:t>
      </w:r>
    </w:p>
    <w:p>
      <w:pPr>
        <w:keepNext/>
        <w:keepLines/>
        <w:spacing w:line="400" w:lineRule="exact"/>
        <w:jc w:val="left"/>
        <w:outlineLvl w:val="0"/>
        <w:rPr>
          <w:rFonts w:ascii="Times New Roman" w:hAnsi="Times New Roman" w:eastAsia="黑体" w:cs="Times New Roman"/>
          <w:b/>
          <w:bCs/>
          <w:color w:val="000000" w:themeColor="text1"/>
          <w:kern w:val="44"/>
          <w:sz w:val="28"/>
          <w:szCs w:val="28"/>
          <w:highlight w:val="none"/>
        </w:rPr>
      </w:pPr>
    </w:p>
    <w:p>
      <w:pPr>
        <w:ind w:firstLine="465"/>
        <w:jc w:val="center"/>
        <w:rPr>
          <w:rFonts w:ascii="宋体" w:hAnsi="宋体"/>
          <w:bCs/>
          <w:color w:val="000000" w:themeColor="text1"/>
          <w:sz w:val="36"/>
          <w:szCs w:val="36"/>
          <w:highlight w:val="none"/>
        </w:rPr>
      </w:pPr>
      <w:r>
        <w:rPr>
          <w:rFonts w:hint="eastAsia" w:ascii="宋体" w:hAnsi="宋体"/>
          <w:bCs/>
          <w:color w:val="000000" w:themeColor="text1"/>
          <w:sz w:val="36"/>
          <w:szCs w:val="36"/>
          <w:highlight w:val="none"/>
        </w:rPr>
        <w:t>借记金融IC卡采购（2年）   明细表</w:t>
      </w:r>
    </w:p>
    <w:p>
      <w:pPr>
        <w:ind w:firstLine="465"/>
        <w:jc w:val="center"/>
        <w:rPr>
          <w:rFonts w:ascii="宋体" w:hAnsi="宋体"/>
          <w:bCs/>
          <w:color w:val="000000" w:themeColor="text1"/>
          <w:sz w:val="36"/>
          <w:szCs w:val="36"/>
          <w:highlight w:val="none"/>
        </w:rPr>
      </w:pPr>
    </w:p>
    <w:p>
      <w:pPr>
        <w:rPr>
          <w:rFonts w:ascii="宋体" w:hAnsi="宋体"/>
          <w:bCs/>
          <w:color w:val="000000" w:themeColor="text1"/>
          <w:sz w:val="28"/>
          <w:szCs w:val="28"/>
          <w:highlight w:val="none"/>
        </w:rPr>
      </w:pPr>
      <w:r>
        <w:rPr>
          <w:rFonts w:hint="eastAsia" w:ascii="宋体" w:hAnsi="宋体"/>
          <w:bCs/>
          <w:color w:val="000000" w:themeColor="text1"/>
          <w:sz w:val="28"/>
          <w:szCs w:val="28"/>
          <w:highlight w:val="none"/>
        </w:rPr>
        <w:t>一、标准卡（预计180万张）</w:t>
      </w:r>
    </w:p>
    <w:tbl>
      <w:tblPr>
        <w:tblStyle w:val="55"/>
        <w:tblW w:w="8130" w:type="dxa"/>
        <w:tblInd w:w="392" w:type="dxa"/>
        <w:tblLayout w:type="fixed"/>
        <w:tblCellMar>
          <w:top w:w="0" w:type="dxa"/>
          <w:left w:w="108" w:type="dxa"/>
          <w:bottom w:w="0" w:type="dxa"/>
          <w:right w:w="108" w:type="dxa"/>
        </w:tblCellMar>
      </w:tblPr>
      <w:tblGrid>
        <w:gridCol w:w="426"/>
        <w:gridCol w:w="851"/>
        <w:gridCol w:w="2738"/>
        <w:gridCol w:w="1916"/>
        <w:gridCol w:w="1234"/>
        <w:gridCol w:w="965"/>
      </w:tblGrid>
      <w:tr>
        <w:tblPrEx>
          <w:tblLayout w:type="fixed"/>
          <w:tblCellMar>
            <w:top w:w="0" w:type="dxa"/>
            <w:left w:w="108" w:type="dxa"/>
            <w:bottom w:w="0" w:type="dxa"/>
            <w:right w:w="108" w:type="dxa"/>
          </w:tblCellMar>
        </w:tblPrEx>
        <w:trPr>
          <w:trHeight w:val="65" w:hRule="atLeast"/>
        </w:trPr>
        <w:tc>
          <w:tcPr>
            <w:tcW w:w="4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ascii="宋体" w:hAnsi="宋体" w:cs="宋体"/>
                <w:b/>
                <w:color w:val="000000" w:themeColor="text1"/>
                <w:sz w:val="18"/>
                <w:szCs w:val="18"/>
                <w:highlight w:val="none"/>
              </w:rPr>
            </w:pPr>
            <w:r>
              <w:rPr>
                <w:rFonts w:hint="eastAsia" w:ascii="宋体" w:hAnsi="宋体" w:cs="宋体"/>
                <w:b/>
                <w:color w:val="000000" w:themeColor="text1"/>
                <w:sz w:val="18"/>
                <w:szCs w:val="18"/>
                <w:highlight w:val="none"/>
              </w:rPr>
              <w:t>序号</w:t>
            </w:r>
          </w:p>
        </w:tc>
        <w:tc>
          <w:tcPr>
            <w:tcW w:w="851"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宋体" w:hAnsi="宋体" w:cs="宋体"/>
                <w:b/>
                <w:color w:val="000000" w:themeColor="text1"/>
                <w:sz w:val="18"/>
                <w:szCs w:val="18"/>
                <w:highlight w:val="none"/>
              </w:rPr>
            </w:pPr>
            <w:r>
              <w:rPr>
                <w:rFonts w:hint="eastAsia" w:ascii="宋体" w:hAnsi="宋体" w:cs="宋体"/>
                <w:b/>
                <w:color w:val="000000" w:themeColor="text1"/>
                <w:sz w:val="18"/>
                <w:szCs w:val="18"/>
                <w:highlight w:val="none"/>
              </w:rPr>
              <w:t>名称</w:t>
            </w:r>
          </w:p>
        </w:tc>
        <w:tc>
          <w:tcPr>
            <w:tcW w:w="2738"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宋体" w:hAnsi="宋体" w:cs="宋体"/>
                <w:b/>
                <w:color w:val="000000" w:themeColor="text1"/>
                <w:sz w:val="18"/>
                <w:szCs w:val="18"/>
                <w:highlight w:val="none"/>
              </w:rPr>
            </w:pPr>
            <w:r>
              <w:rPr>
                <w:rFonts w:hint="eastAsia" w:ascii="宋体" w:hAnsi="宋体" w:cs="宋体"/>
                <w:b/>
                <w:color w:val="000000" w:themeColor="text1"/>
                <w:sz w:val="18"/>
                <w:szCs w:val="18"/>
                <w:highlight w:val="none"/>
              </w:rPr>
              <w:t>规格及工艺</w:t>
            </w:r>
          </w:p>
        </w:tc>
        <w:tc>
          <w:tcPr>
            <w:tcW w:w="1916"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宋体" w:hAnsi="宋体" w:cs="宋体"/>
                <w:b/>
                <w:color w:val="000000" w:themeColor="text1"/>
                <w:sz w:val="18"/>
                <w:szCs w:val="18"/>
                <w:highlight w:val="none"/>
              </w:rPr>
            </w:pPr>
            <w:r>
              <w:rPr>
                <w:rFonts w:hint="eastAsia" w:ascii="宋体" w:hAnsi="宋体" w:cs="宋体"/>
                <w:b/>
                <w:color w:val="000000" w:themeColor="text1"/>
                <w:sz w:val="18"/>
                <w:szCs w:val="18"/>
                <w:highlight w:val="none"/>
              </w:rPr>
              <w:t>银行卡品名</w:t>
            </w:r>
          </w:p>
        </w:tc>
        <w:tc>
          <w:tcPr>
            <w:tcW w:w="1234"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b/>
                <w:color w:val="000000" w:themeColor="text1"/>
                <w:sz w:val="18"/>
                <w:szCs w:val="18"/>
                <w:highlight w:val="none"/>
              </w:rPr>
            </w:pPr>
          </w:p>
          <w:p>
            <w:pPr>
              <w:spacing w:line="240" w:lineRule="exact"/>
              <w:jc w:val="center"/>
              <w:rPr>
                <w:rFonts w:ascii="宋体" w:hAnsi="宋体" w:cs="宋体"/>
                <w:b/>
                <w:color w:val="000000" w:themeColor="text1"/>
                <w:sz w:val="18"/>
                <w:szCs w:val="18"/>
                <w:highlight w:val="none"/>
              </w:rPr>
            </w:pPr>
            <w:r>
              <w:rPr>
                <w:rFonts w:hint="eastAsia" w:ascii="宋体" w:hAnsi="宋体" w:cs="宋体"/>
                <w:b/>
                <w:color w:val="000000" w:themeColor="text1"/>
                <w:sz w:val="18"/>
                <w:szCs w:val="18"/>
                <w:highlight w:val="none"/>
              </w:rPr>
              <w:t>芯片要求</w:t>
            </w:r>
          </w:p>
        </w:tc>
        <w:tc>
          <w:tcPr>
            <w:tcW w:w="965"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b/>
                <w:color w:val="000000" w:themeColor="text1"/>
                <w:sz w:val="18"/>
                <w:szCs w:val="18"/>
                <w:highlight w:val="none"/>
              </w:rPr>
            </w:pPr>
            <w:r>
              <w:rPr>
                <w:rFonts w:hint="eastAsia" w:ascii="宋体" w:hAnsi="宋体" w:cs="宋体"/>
                <w:b/>
                <w:color w:val="000000" w:themeColor="text1"/>
                <w:sz w:val="18"/>
                <w:szCs w:val="18"/>
                <w:highlight w:val="none"/>
              </w:rPr>
              <w:t>预计采购量（</w:t>
            </w:r>
            <w:r>
              <w:rPr>
                <w:rFonts w:hint="eastAsia"/>
                <w:color w:val="000000" w:themeColor="text1"/>
                <w:highlight w:val="none"/>
              </w:rPr>
              <w:t>万</w:t>
            </w:r>
            <w:r>
              <w:rPr>
                <w:rFonts w:hint="eastAsia" w:ascii="宋体" w:hAnsi="宋体" w:cs="宋体"/>
                <w:b/>
                <w:color w:val="000000" w:themeColor="text1"/>
                <w:sz w:val="18"/>
                <w:szCs w:val="18"/>
                <w:highlight w:val="none"/>
              </w:rPr>
              <w:t>张）</w:t>
            </w:r>
          </w:p>
        </w:tc>
      </w:tr>
      <w:tr>
        <w:tblPrEx>
          <w:tblLayout w:type="fixed"/>
          <w:tblCellMar>
            <w:top w:w="0" w:type="dxa"/>
            <w:left w:w="108" w:type="dxa"/>
            <w:bottom w:w="0" w:type="dxa"/>
            <w:right w:w="108" w:type="dxa"/>
          </w:tblCellMar>
        </w:tblPrEx>
        <w:trPr>
          <w:trHeight w:val="90" w:hRule="atLeast"/>
        </w:trPr>
        <w:tc>
          <w:tcPr>
            <w:tcW w:w="426" w:type="dxa"/>
            <w:tcBorders>
              <w:top w:val="nil"/>
              <w:left w:val="single" w:color="auto" w:sz="4" w:space="0"/>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1</w:t>
            </w:r>
          </w:p>
        </w:tc>
        <w:tc>
          <w:tcPr>
            <w:tcW w:w="851" w:type="dxa"/>
            <w:tcBorders>
              <w:top w:val="nil"/>
              <w:left w:val="single" w:color="auto" w:sz="4" w:space="0"/>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普通IC卡</w:t>
            </w:r>
          </w:p>
        </w:tc>
        <w:tc>
          <w:tcPr>
            <w:tcW w:w="2738" w:type="dxa"/>
            <w:tcBorders>
              <w:top w:val="nil"/>
              <w:left w:val="single" w:color="auto" w:sz="4" w:space="0"/>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双界面复合卡、优质PVC材料、卡体厚度为0.82±0.02、黑色高密磁条、两面光面、凸码烫银19位银行卡号、中国银联有关规定印制标识、采购方要求印制标识。</w:t>
            </w:r>
          </w:p>
        </w:tc>
        <w:tc>
          <w:tcPr>
            <w:tcW w:w="1916" w:type="dxa"/>
            <w:tcBorders>
              <w:top w:val="nil"/>
              <w:left w:val="nil"/>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规格及工艺相同，根据不同客户群有不同版面、品名（目前包括长江卡、儿童金豆卡、蒲公英卡、薪享卡、志愿者卡、生肖卡、员工卡、拥军优抚卡）</w:t>
            </w:r>
          </w:p>
        </w:tc>
        <w:tc>
          <w:tcPr>
            <w:tcW w:w="1234" w:type="dxa"/>
            <w:tcBorders>
              <w:top w:val="nil"/>
              <w:left w:val="nil"/>
              <w:bottom w:val="single" w:color="auto" w:sz="4" w:space="0"/>
              <w:right w:val="single" w:color="auto" w:sz="4" w:space="0"/>
            </w:tcBorders>
            <w:vAlign w:val="center"/>
          </w:tcPr>
          <w:p>
            <w:pPr>
              <w:spacing w:line="240" w:lineRule="exact"/>
              <w:jc w:val="center"/>
              <w:rPr>
                <w:rFonts w:ascii="宋体" w:hAnsi="宋体" w:cs="宋体"/>
                <w:color w:val="000000" w:themeColor="text1"/>
                <w:szCs w:val="21"/>
                <w:highlight w:val="none"/>
              </w:rPr>
            </w:pPr>
            <w:r>
              <w:rPr>
                <w:rFonts w:hint="eastAsia" w:ascii="宋体" w:hAnsi="宋体" w:cs="宋体"/>
                <w:color w:val="000000" w:themeColor="text1"/>
                <w:szCs w:val="21"/>
                <w:highlight w:val="none"/>
              </w:rPr>
              <w:t>芯片容量40K,使用国产芯片,支持国密算法</w:t>
            </w:r>
          </w:p>
        </w:tc>
        <w:tc>
          <w:tcPr>
            <w:tcW w:w="965" w:type="dxa"/>
            <w:tcBorders>
              <w:top w:val="nil"/>
              <w:left w:val="nil"/>
              <w:bottom w:val="single" w:color="auto" w:sz="4" w:space="0"/>
              <w:right w:val="single" w:color="auto" w:sz="4" w:space="0"/>
            </w:tcBorders>
            <w:vAlign w:val="center"/>
          </w:tcPr>
          <w:p>
            <w:pPr>
              <w:spacing w:line="240" w:lineRule="exact"/>
              <w:jc w:val="center"/>
              <w:rPr>
                <w:rFonts w:ascii="宋体" w:hAnsi="宋体" w:cs="宋体"/>
                <w:color w:val="000000" w:themeColor="text1"/>
                <w:szCs w:val="21"/>
                <w:highlight w:val="none"/>
              </w:rPr>
            </w:pPr>
            <w:r>
              <w:rPr>
                <w:rFonts w:hint="eastAsia" w:ascii="宋体" w:hAnsi="宋体" w:cs="宋体"/>
                <w:color w:val="000000" w:themeColor="text1"/>
                <w:szCs w:val="21"/>
                <w:highlight w:val="none"/>
              </w:rPr>
              <w:t>161.15</w:t>
            </w:r>
          </w:p>
        </w:tc>
      </w:tr>
      <w:tr>
        <w:tblPrEx>
          <w:tblLayout w:type="fixed"/>
          <w:tblCellMar>
            <w:top w:w="0" w:type="dxa"/>
            <w:left w:w="108" w:type="dxa"/>
            <w:bottom w:w="0" w:type="dxa"/>
            <w:right w:w="108" w:type="dxa"/>
          </w:tblCellMar>
        </w:tblPrEx>
        <w:trPr>
          <w:trHeight w:val="1745" w:hRule="atLeast"/>
        </w:trPr>
        <w:tc>
          <w:tcPr>
            <w:tcW w:w="426" w:type="dxa"/>
            <w:tcBorders>
              <w:top w:val="nil"/>
              <w:left w:val="single" w:color="auto" w:sz="4" w:space="0"/>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2</w:t>
            </w:r>
          </w:p>
        </w:tc>
        <w:tc>
          <w:tcPr>
            <w:tcW w:w="851" w:type="dxa"/>
            <w:tcBorders>
              <w:top w:val="nil"/>
              <w:left w:val="nil"/>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普通IC卡</w:t>
            </w:r>
          </w:p>
        </w:tc>
        <w:tc>
          <w:tcPr>
            <w:tcW w:w="2738" w:type="dxa"/>
            <w:tcBorders>
              <w:top w:val="nil"/>
              <w:left w:val="nil"/>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双界面复合卡、优质PVC材料、卡体厚度为0.82±0.02、金色高密磁条、两面光面，卡面中间</w:t>
            </w:r>
            <w:r>
              <w:rPr>
                <w:rFonts w:ascii="宋体" w:hAnsi="宋体" w:cs="宋体"/>
                <w:color w:val="000000" w:themeColor="text1"/>
                <w:szCs w:val="21"/>
                <w:highlight w:val="none"/>
              </w:rPr>
              <w:t>LOGO</w:t>
            </w:r>
            <w:r>
              <w:rPr>
                <w:rFonts w:hint="eastAsia" w:ascii="宋体" w:hAnsi="宋体" w:cs="宋体"/>
                <w:color w:val="000000" w:themeColor="text1"/>
                <w:szCs w:val="21"/>
                <w:highlight w:val="none"/>
              </w:rPr>
              <w:t>珠光、凸码烫银</w:t>
            </w:r>
            <w:r>
              <w:rPr>
                <w:rFonts w:ascii="宋体" w:hAnsi="宋体" w:cs="宋体"/>
                <w:color w:val="000000" w:themeColor="text1"/>
                <w:szCs w:val="21"/>
                <w:highlight w:val="none"/>
              </w:rPr>
              <w:t>19</w:t>
            </w:r>
            <w:r>
              <w:rPr>
                <w:rFonts w:hint="eastAsia" w:ascii="宋体" w:hAnsi="宋体" w:cs="宋体"/>
                <w:color w:val="000000" w:themeColor="text1"/>
                <w:szCs w:val="21"/>
                <w:highlight w:val="none"/>
              </w:rPr>
              <w:t>位银行卡号、中国银联有关规定印制标识、采购方要求印制标识。</w:t>
            </w:r>
          </w:p>
        </w:tc>
        <w:tc>
          <w:tcPr>
            <w:tcW w:w="1916" w:type="dxa"/>
            <w:tcBorders>
              <w:top w:val="nil"/>
              <w:left w:val="nil"/>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长江财源IC卡</w:t>
            </w:r>
          </w:p>
        </w:tc>
        <w:tc>
          <w:tcPr>
            <w:tcW w:w="1234" w:type="dxa"/>
            <w:tcBorders>
              <w:top w:val="nil"/>
              <w:left w:val="nil"/>
              <w:bottom w:val="single" w:color="auto" w:sz="4" w:space="0"/>
              <w:right w:val="single" w:color="auto" w:sz="4" w:space="0"/>
            </w:tcBorders>
            <w:vAlign w:val="center"/>
          </w:tcPr>
          <w:p>
            <w:pPr>
              <w:spacing w:line="240" w:lineRule="exact"/>
              <w:jc w:val="center"/>
              <w:rPr>
                <w:rFonts w:ascii="宋体" w:hAnsi="宋体" w:cs="宋体"/>
                <w:color w:val="000000" w:themeColor="text1"/>
                <w:szCs w:val="21"/>
                <w:highlight w:val="none"/>
              </w:rPr>
            </w:pPr>
            <w:r>
              <w:rPr>
                <w:rFonts w:hint="eastAsia" w:ascii="宋体" w:hAnsi="宋体" w:cs="宋体"/>
                <w:color w:val="000000" w:themeColor="text1"/>
                <w:szCs w:val="21"/>
                <w:highlight w:val="none"/>
              </w:rPr>
              <w:t>芯片容量40K,使用国产芯片，支持国密算法</w:t>
            </w:r>
          </w:p>
        </w:tc>
        <w:tc>
          <w:tcPr>
            <w:tcW w:w="965" w:type="dxa"/>
            <w:tcBorders>
              <w:top w:val="nil"/>
              <w:left w:val="nil"/>
              <w:bottom w:val="single" w:color="auto" w:sz="4" w:space="0"/>
              <w:right w:val="single" w:color="auto" w:sz="4" w:space="0"/>
            </w:tcBorders>
            <w:vAlign w:val="center"/>
          </w:tcPr>
          <w:p>
            <w:pPr>
              <w:spacing w:line="240" w:lineRule="exact"/>
              <w:jc w:val="center"/>
              <w:rPr>
                <w:rFonts w:ascii="宋体" w:hAnsi="宋体" w:cs="宋体"/>
                <w:color w:val="000000" w:themeColor="text1"/>
                <w:szCs w:val="21"/>
                <w:highlight w:val="none"/>
              </w:rPr>
            </w:pPr>
            <w:r>
              <w:rPr>
                <w:rFonts w:hint="eastAsia" w:ascii="宋体" w:hAnsi="宋体" w:cs="宋体"/>
                <w:color w:val="000000" w:themeColor="text1"/>
                <w:szCs w:val="21"/>
                <w:highlight w:val="none"/>
              </w:rPr>
              <w:t>4</w:t>
            </w:r>
          </w:p>
        </w:tc>
      </w:tr>
      <w:tr>
        <w:tblPrEx>
          <w:tblLayout w:type="fixed"/>
          <w:tblCellMar>
            <w:top w:w="0" w:type="dxa"/>
            <w:left w:w="108" w:type="dxa"/>
            <w:bottom w:w="0" w:type="dxa"/>
            <w:right w:w="108" w:type="dxa"/>
          </w:tblCellMar>
        </w:tblPrEx>
        <w:trPr>
          <w:trHeight w:val="1800" w:hRule="atLeast"/>
        </w:trPr>
        <w:tc>
          <w:tcPr>
            <w:tcW w:w="426" w:type="dxa"/>
            <w:tcBorders>
              <w:top w:val="nil"/>
              <w:left w:val="single" w:color="auto" w:sz="4" w:space="0"/>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3</w:t>
            </w:r>
          </w:p>
        </w:tc>
        <w:tc>
          <w:tcPr>
            <w:tcW w:w="851" w:type="dxa"/>
            <w:tcBorders>
              <w:top w:val="nil"/>
              <w:left w:val="nil"/>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普通IC卡</w:t>
            </w:r>
          </w:p>
        </w:tc>
        <w:tc>
          <w:tcPr>
            <w:tcW w:w="2738" w:type="dxa"/>
            <w:tcBorders>
              <w:top w:val="nil"/>
              <w:left w:val="nil"/>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双界面复合卡、优质PVC材料、卡体厚度为0.82±0.02、黑色高密磁条、两面哑面，珠光、白字平印19位银行卡号、中国银联有关规定印制标识、采购方要求印制标识。</w:t>
            </w:r>
          </w:p>
        </w:tc>
        <w:tc>
          <w:tcPr>
            <w:tcW w:w="1916" w:type="dxa"/>
            <w:tcBorders>
              <w:top w:val="nil"/>
              <w:left w:val="nil"/>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英才IC卡</w:t>
            </w:r>
          </w:p>
        </w:tc>
        <w:tc>
          <w:tcPr>
            <w:tcW w:w="1234" w:type="dxa"/>
            <w:tcBorders>
              <w:top w:val="nil"/>
              <w:left w:val="nil"/>
              <w:bottom w:val="single" w:color="auto" w:sz="4" w:space="0"/>
              <w:right w:val="single" w:color="auto" w:sz="4" w:space="0"/>
            </w:tcBorders>
            <w:vAlign w:val="center"/>
          </w:tcPr>
          <w:p>
            <w:pPr>
              <w:spacing w:line="240" w:lineRule="exact"/>
              <w:jc w:val="center"/>
              <w:rPr>
                <w:rFonts w:ascii="宋体" w:hAnsi="宋体" w:cs="宋体"/>
                <w:color w:val="000000" w:themeColor="text1"/>
                <w:szCs w:val="21"/>
                <w:highlight w:val="none"/>
              </w:rPr>
            </w:pPr>
            <w:r>
              <w:rPr>
                <w:rFonts w:hint="eastAsia" w:ascii="宋体" w:hAnsi="宋体" w:cs="宋体"/>
                <w:color w:val="000000" w:themeColor="text1"/>
                <w:szCs w:val="21"/>
                <w:highlight w:val="none"/>
              </w:rPr>
              <w:t>芯片容量40K,使用国产芯片，支持国密算法</w:t>
            </w:r>
          </w:p>
        </w:tc>
        <w:tc>
          <w:tcPr>
            <w:tcW w:w="965" w:type="dxa"/>
            <w:tcBorders>
              <w:top w:val="nil"/>
              <w:left w:val="nil"/>
              <w:bottom w:val="single" w:color="auto" w:sz="4" w:space="0"/>
              <w:right w:val="single" w:color="auto" w:sz="4" w:space="0"/>
            </w:tcBorders>
            <w:vAlign w:val="center"/>
          </w:tcPr>
          <w:p>
            <w:pPr>
              <w:spacing w:line="240" w:lineRule="exact"/>
              <w:jc w:val="center"/>
              <w:rPr>
                <w:rFonts w:ascii="宋体" w:hAnsi="宋体" w:cs="宋体"/>
                <w:color w:val="000000" w:themeColor="text1"/>
                <w:szCs w:val="21"/>
                <w:highlight w:val="none"/>
              </w:rPr>
            </w:pPr>
            <w:r>
              <w:rPr>
                <w:rFonts w:hint="eastAsia" w:ascii="宋体" w:hAnsi="宋体" w:cs="宋体"/>
                <w:color w:val="000000" w:themeColor="text1"/>
                <w:szCs w:val="21"/>
                <w:highlight w:val="none"/>
              </w:rPr>
              <w:t>0.2</w:t>
            </w:r>
          </w:p>
        </w:tc>
      </w:tr>
      <w:tr>
        <w:tblPrEx>
          <w:tblLayout w:type="fixed"/>
          <w:tblCellMar>
            <w:top w:w="0" w:type="dxa"/>
            <w:left w:w="108" w:type="dxa"/>
            <w:bottom w:w="0" w:type="dxa"/>
            <w:right w:w="108" w:type="dxa"/>
          </w:tblCellMar>
        </w:tblPrEx>
        <w:trPr>
          <w:trHeight w:val="1740" w:hRule="atLeast"/>
        </w:trPr>
        <w:tc>
          <w:tcPr>
            <w:tcW w:w="426" w:type="dxa"/>
            <w:tcBorders>
              <w:top w:val="nil"/>
              <w:left w:val="single" w:color="auto" w:sz="4" w:space="0"/>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4</w:t>
            </w:r>
          </w:p>
        </w:tc>
        <w:tc>
          <w:tcPr>
            <w:tcW w:w="851" w:type="dxa"/>
            <w:tcBorders>
              <w:top w:val="nil"/>
              <w:left w:val="nil"/>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贵宾IC卡</w:t>
            </w:r>
          </w:p>
        </w:tc>
        <w:tc>
          <w:tcPr>
            <w:tcW w:w="2738" w:type="dxa"/>
            <w:tcBorders>
              <w:top w:val="nil"/>
              <w:left w:val="nil"/>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双界面复合卡、优质PVC材料、卡体厚度为0.82±0.02、高密隐形磁条、金/镭射金、凸码烫银19位银行卡号、中国银联有关规定印制标识、采购方要求印制标识。</w:t>
            </w:r>
          </w:p>
        </w:tc>
        <w:tc>
          <w:tcPr>
            <w:tcW w:w="1916" w:type="dxa"/>
            <w:tcBorders>
              <w:top w:val="nil"/>
              <w:left w:val="nil"/>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黄金IC卡</w:t>
            </w:r>
          </w:p>
        </w:tc>
        <w:tc>
          <w:tcPr>
            <w:tcW w:w="1234" w:type="dxa"/>
            <w:tcBorders>
              <w:top w:val="nil"/>
              <w:left w:val="nil"/>
              <w:bottom w:val="single" w:color="auto" w:sz="4" w:space="0"/>
              <w:right w:val="single" w:color="auto" w:sz="4" w:space="0"/>
            </w:tcBorders>
            <w:vAlign w:val="center"/>
          </w:tcPr>
          <w:p>
            <w:pPr>
              <w:spacing w:line="240" w:lineRule="exact"/>
              <w:jc w:val="center"/>
              <w:rPr>
                <w:rFonts w:ascii="宋体" w:hAnsi="宋体" w:cs="宋体"/>
                <w:color w:val="000000" w:themeColor="text1"/>
                <w:szCs w:val="21"/>
                <w:highlight w:val="none"/>
              </w:rPr>
            </w:pPr>
          </w:p>
          <w:p>
            <w:pPr>
              <w:spacing w:line="240" w:lineRule="exact"/>
              <w:jc w:val="center"/>
              <w:rPr>
                <w:rFonts w:ascii="宋体" w:hAnsi="宋体" w:cs="宋体"/>
                <w:color w:val="000000" w:themeColor="text1"/>
                <w:szCs w:val="21"/>
                <w:highlight w:val="none"/>
              </w:rPr>
            </w:pPr>
            <w:r>
              <w:rPr>
                <w:rFonts w:hint="eastAsia" w:ascii="宋体" w:hAnsi="宋体" w:cs="宋体"/>
                <w:color w:val="000000" w:themeColor="text1"/>
                <w:szCs w:val="21"/>
                <w:highlight w:val="none"/>
              </w:rPr>
              <w:t>芯片容量40K,使用国产芯片，支持国密算法</w:t>
            </w:r>
          </w:p>
        </w:tc>
        <w:tc>
          <w:tcPr>
            <w:tcW w:w="965" w:type="dxa"/>
            <w:tcBorders>
              <w:top w:val="nil"/>
              <w:left w:val="nil"/>
              <w:bottom w:val="single" w:color="auto" w:sz="4" w:space="0"/>
              <w:right w:val="single" w:color="auto" w:sz="4" w:space="0"/>
            </w:tcBorders>
            <w:vAlign w:val="center"/>
          </w:tcPr>
          <w:p>
            <w:pPr>
              <w:spacing w:line="240" w:lineRule="exact"/>
              <w:ind w:firstLine="210" w:firstLineChars="100"/>
              <w:jc w:val="center"/>
              <w:rPr>
                <w:rFonts w:ascii="宋体" w:hAnsi="宋体" w:cs="宋体"/>
                <w:color w:val="000000" w:themeColor="text1"/>
                <w:szCs w:val="21"/>
                <w:highlight w:val="none"/>
              </w:rPr>
            </w:pPr>
            <w:r>
              <w:rPr>
                <w:rFonts w:hint="eastAsia" w:ascii="宋体" w:hAnsi="宋体" w:cs="宋体"/>
                <w:color w:val="000000" w:themeColor="text1"/>
                <w:szCs w:val="21"/>
                <w:highlight w:val="none"/>
              </w:rPr>
              <w:t>8</w:t>
            </w:r>
          </w:p>
        </w:tc>
      </w:tr>
      <w:tr>
        <w:tblPrEx>
          <w:tblLayout w:type="fixed"/>
          <w:tblCellMar>
            <w:top w:w="0" w:type="dxa"/>
            <w:left w:w="108" w:type="dxa"/>
            <w:bottom w:w="0" w:type="dxa"/>
            <w:right w:w="108" w:type="dxa"/>
          </w:tblCellMar>
        </w:tblPrEx>
        <w:trPr>
          <w:trHeight w:val="1805" w:hRule="atLeast"/>
        </w:trPr>
        <w:tc>
          <w:tcPr>
            <w:tcW w:w="4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5</w:t>
            </w:r>
          </w:p>
        </w:tc>
        <w:tc>
          <w:tcPr>
            <w:tcW w:w="851" w:type="dxa"/>
            <w:tcBorders>
              <w:top w:val="single" w:color="auto" w:sz="4" w:space="0"/>
              <w:left w:val="nil"/>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贵宾IC卡</w:t>
            </w:r>
          </w:p>
        </w:tc>
        <w:tc>
          <w:tcPr>
            <w:tcW w:w="2738" w:type="dxa"/>
            <w:tcBorders>
              <w:top w:val="single" w:color="auto" w:sz="4" w:space="0"/>
              <w:left w:val="nil"/>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双界面复合卡、优质PVC材料、卡体厚度为0.82±0.02、两面光面、高密隐形磁条、银/镭射银、凸码烫银19位银行卡号、中国银联有关规定印制标识、采购方要求印制标识。</w:t>
            </w:r>
          </w:p>
        </w:tc>
        <w:tc>
          <w:tcPr>
            <w:tcW w:w="1916" w:type="dxa"/>
            <w:tcBorders>
              <w:top w:val="single" w:color="auto" w:sz="4" w:space="0"/>
              <w:left w:val="nil"/>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铂金IC卡</w:t>
            </w:r>
          </w:p>
        </w:tc>
        <w:tc>
          <w:tcPr>
            <w:tcW w:w="1234"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color w:val="000000" w:themeColor="text1"/>
                <w:szCs w:val="21"/>
                <w:highlight w:val="none"/>
              </w:rPr>
            </w:pPr>
          </w:p>
          <w:p>
            <w:pPr>
              <w:spacing w:line="240" w:lineRule="exact"/>
              <w:jc w:val="center"/>
              <w:rPr>
                <w:rFonts w:ascii="宋体" w:hAnsi="宋体" w:cs="宋体"/>
                <w:color w:val="000000" w:themeColor="text1"/>
                <w:szCs w:val="21"/>
                <w:highlight w:val="none"/>
              </w:rPr>
            </w:pPr>
            <w:r>
              <w:rPr>
                <w:rFonts w:hint="eastAsia" w:ascii="宋体" w:hAnsi="宋体" w:cs="宋体"/>
                <w:color w:val="000000" w:themeColor="text1"/>
                <w:szCs w:val="21"/>
                <w:highlight w:val="none"/>
              </w:rPr>
              <w:t>芯片容量40K,使用国产芯片，支持国密算法</w:t>
            </w:r>
          </w:p>
        </w:tc>
        <w:tc>
          <w:tcPr>
            <w:tcW w:w="965"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color w:val="000000" w:themeColor="text1"/>
                <w:szCs w:val="21"/>
                <w:highlight w:val="none"/>
              </w:rPr>
            </w:pPr>
            <w:r>
              <w:rPr>
                <w:rFonts w:hint="eastAsia" w:ascii="宋体" w:hAnsi="宋体" w:cs="宋体"/>
                <w:color w:val="000000" w:themeColor="text1"/>
                <w:szCs w:val="21"/>
                <w:highlight w:val="none"/>
              </w:rPr>
              <w:t>4</w:t>
            </w:r>
          </w:p>
        </w:tc>
      </w:tr>
      <w:tr>
        <w:tblPrEx>
          <w:tblLayout w:type="fixed"/>
          <w:tblCellMar>
            <w:top w:w="0" w:type="dxa"/>
            <w:left w:w="108" w:type="dxa"/>
            <w:bottom w:w="0" w:type="dxa"/>
            <w:right w:w="108" w:type="dxa"/>
          </w:tblCellMar>
        </w:tblPrEx>
        <w:trPr>
          <w:trHeight w:val="1755" w:hRule="atLeast"/>
        </w:trPr>
        <w:tc>
          <w:tcPr>
            <w:tcW w:w="426" w:type="dxa"/>
            <w:tcBorders>
              <w:top w:val="nil"/>
              <w:left w:val="single" w:color="auto" w:sz="4" w:space="0"/>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6</w:t>
            </w:r>
          </w:p>
        </w:tc>
        <w:tc>
          <w:tcPr>
            <w:tcW w:w="851" w:type="dxa"/>
            <w:tcBorders>
              <w:top w:val="nil"/>
              <w:left w:val="nil"/>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贵宾IC卡</w:t>
            </w:r>
          </w:p>
        </w:tc>
        <w:tc>
          <w:tcPr>
            <w:tcW w:w="2738" w:type="dxa"/>
            <w:tcBorders>
              <w:top w:val="nil"/>
              <w:left w:val="nil"/>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双界面复合卡、优质PVC材料、卡体厚度为0.82±0.02、高密隐形磁条、银/镭射银、凸码烫银19位银行卡号、中国银联有关规定印制标识、采购方要求印制标识。</w:t>
            </w:r>
          </w:p>
        </w:tc>
        <w:tc>
          <w:tcPr>
            <w:tcW w:w="1916" w:type="dxa"/>
            <w:tcBorders>
              <w:top w:val="nil"/>
              <w:left w:val="nil"/>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钻石IC卡</w:t>
            </w:r>
          </w:p>
        </w:tc>
        <w:tc>
          <w:tcPr>
            <w:tcW w:w="1234" w:type="dxa"/>
            <w:tcBorders>
              <w:top w:val="nil"/>
              <w:left w:val="nil"/>
              <w:bottom w:val="single" w:color="auto" w:sz="4" w:space="0"/>
              <w:right w:val="single" w:color="auto" w:sz="4" w:space="0"/>
            </w:tcBorders>
            <w:vAlign w:val="center"/>
          </w:tcPr>
          <w:p>
            <w:pPr>
              <w:spacing w:line="240" w:lineRule="exact"/>
              <w:jc w:val="center"/>
              <w:rPr>
                <w:rFonts w:ascii="宋体" w:hAnsi="宋体" w:cs="宋体"/>
                <w:color w:val="000000" w:themeColor="text1"/>
                <w:szCs w:val="21"/>
                <w:highlight w:val="none"/>
              </w:rPr>
            </w:pPr>
          </w:p>
          <w:p>
            <w:pPr>
              <w:spacing w:line="240" w:lineRule="exact"/>
              <w:jc w:val="center"/>
              <w:rPr>
                <w:rFonts w:ascii="宋体" w:hAnsi="宋体" w:cs="宋体"/>
                <w:color w:val="000000" w:themeColor="text1"/>
                <w:szCs w:val="21"/>
                <w:highlight w:val="none"/>
              </w:rPr>
            </w:pPr>
            <w:r>
              <w:rPr>
                <w:rFonts w:hint="eastAsia" w:ascii="宋体" w:hAnsi="宋体" w:cs="宋体"/>
                <w:color w:val="000000" w:themeColor="text1"/>
                <w:szCs w:val="21"/>
                <w:highlight w:val="none"/>
              </w:rPr>
              <w:t>芯片容量40K,使用国产芯片，支持国密算法</w:t>
            </w:r>
          </w:p>
        </w:tc>
        <w:tc>
          <w:tcPr>
            <w:tcW w:w="965" w:type="dxa"/>
            <w:tcBorders>
              <w:top w:val="nil"/>
              <w:left w:val="nil"/>
              <w:bottom w:val="single" w:color="auto" w:sz="4" w:space="0"/>
              <w:right w:val="single" w:color="auto" w:sz="4" w:space="0"/>
            </w:tcBorders>
            <w:vAlign w:val="center"/>
          </w:tcPr>
          <w:p>
            <w:pPr>
              <w:spacing w:line="240" w:lineRule="exact"/>
              <w:jc w:val="center"/>
              <w:rPr>
                <w:rFonts w:ascii="宋体" w:hAnsi="宋体" w:cs="宋体"/>
                <w:color w:val="000000" w:themeColor="text1"/>
                <w:szCs w:val="21"/>
                <w:highlight w:val="none"/>
              </w:rPr>
            </w:pPr>
            <w:r>
              <w:rPr>
                <w:rFonts w:hint="eastAsia" w:ascii="宋体" w:hAnsi="宋体" w:cs="宋体"/>
                <w:color w:val="000000" w:themeColor="text1"/>
                <w:szCs w:val="21"/>
                <w:highlight w:val="none"/>
              </w:rPr>
              <w:t>2</w:t>
            </w:r>
          </w:p>
        </w:tc>
      </w:tr>
      <w:tr>
        <w:tblPrEx>
          <w:tblLayout w:type="fixed"/>
          <w:tblCellMar>
            <w:top w:w="0" w:type="dxa"/>
            <w:left w:w="108" w:type="dxa"/>
            <w:bottom w:w="0" w:type="dxa"/>
            <w:right w:w="108" w:type="dxa"/>
          </w:tblCellMar>
        </w:tblPrEx>
        <w:trPr>
          <w:trHeight w:val="1515" w:hRule="atLeast"/>
        </w:trPr>
        <w:tc>
          <w:tcPr>
            <w:tcW w:w="426" w:type="dxa"/>
            <w:tcBorders>
              <w:top w:val="nil"/>
              <w:left w:val="single" w:color="auto" w:sz="4" w:space="0"/>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7</w:t>
            </w:r>
          </w:p>
        </w:tc>
        <w:tc>
          <w:tcPr>
            <w:tcW w:w="851" w:type="dxa"/>
            <w:tcBorders>
              <w:top w:val="nil"/>
              <w:left w:val="nil"/>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私人银行IC卡</w:t>
            </w:r>
          </w:p>
        </w:tc>
        <w:tc>
          <w:tcPr>
            <w:tcW w:w="2738" w:type="dxa"/>
            <w:tcBorders>
              <w:top w:val="nil"/>
              <w:left w:val="nil"/>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双界面复合卡、优质PVC材料、卡体厚度为0.82±0.02、黑色高密磁条、两面光面、凸码烫银19位银行卡号、中国银联有关规定印制标识、采购方要求印制标识。</w:t>
            </w:r>
          </w:p>
        </w:tc>
        <w:tc>
          <w:tcPr>
            <w:tcW w:w="1916" w:type="dxa"/>
            <w:tcBorders>
              <w:top w:val="nil"/>
              <w:left w:val="nil"/>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私人银行IC卡</w:t>
            </w:r>
          </w:p>
        </w:tc>
        <w:tc>
          <w:tcPr>
            <w:tcW w:w="1234" w:type="dxa"/>
            <w:tcBorders>
              <w:top w:val="nil"/>
              <w:left w:val="nil"/>
              <w:bottom w:val="single" w:color="auto" w:sz="4" w:space="0"/>
              <w:right w:val="single" w:color="auto" w:sz="4" w:space="0"/>
            </w:tcBorders>
            <w:vAlign w:val="center"/>
          </w:tcPr>
          <w:p>
            <w:pPr>
              <w:spacing w:line="240" w:lineRule="exact"/>
              <w:jc w:val="center"/>
              <w:rPr>
                <w:rFonts w:ascii="宋体" w:hAnsi="宋体" w:cs="宋体"/>
                <w:color w:val="000000" w:themeColor="text1"/>
                <w:szCs w:val="21"/>
                <w:highlight w:val="none"/>
              </w:rPr>
            </w:pPr>
            <w:r>
              <w:rPr>
                <w:rFonts w:hint="eastAsia" w:ascii="宋体" w:hAnsi="宋体" w:cs="宋体"/>
                <w:color w:val="000000" w:themeColor="text1"/>
                <w:szCs w:val="21"/>
                <w:highlight w:val="none"/>
              </w:rPr>
              <w:t>芯片容量40K,使用国产芯片，支持国密算法</w:t>
            </w:r>
          </w:p>
        </w:tc>
        <w:tc>
          <w:tcPr>
            <w:tcW w:w="965" w:type="dxa"/>
            <w:tcBorders>
              <w:top w:val="nil"/>
              <w:left w:val="nil"/>
              <w:bottom w:val="single" w:color="auto" w:sz="4" w:space="0"/>
              <w:right w:val="single" w:color="auto" w:sz="4" w:space="0"/>
            </w:tcBorders>
            <w:vAlign w:val="center"/>
          </w:tcPr>
          <w:p>
            <w:pPr>
              <w:spacing w:line="240" w:lineRule="exact"/>
              <w:jc w:val="center"/>
              <w:rPr>
                <w:rFonts w:ascii="宋体" w:hAnsi="宋体" w:cs="宋体"/>
                <w:color w:val="000000" w:themeColor="text1"/>
                <w:szCs w:val="21"/>
                <w:highlight w:val="none"/>
              </w:rPr>
            </w:pPr>
            <w:r>
              <w:rPr>
                <w:rFonts w:hint="eastAsia" w:ascii="宋体" w:hAnsi="宋体" w:cs="宋体"/>
                <w:color w:val="000000" w:themeColor="text1"/>
                <w:szCs w:val="21"/>
                <w:highlight w:val="none"/>
              </w:rPr>
              <w:t>0.65</w:t>
            </w:r>
          </w:p>
        </w:tc>
      </w:tr>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 w:hRule="atLeast"/>
        </w:trPr>
        <w:tc>
          <w:tcPr>
            <w:tcW w:w="8130" w:type="dxa"/>
            <w:gridSpan w:val="6"/>
            <w:tcBorders>
              <w:top w:val="single" w:color="auto" w:sz="4" w:space="0"/>
            </w:tcBorders>
          </w:tcPr>
          <w:p>
            <w:pPr>
              <w:spacing w:line="315" w:lineRule="atLeast"/>
              <w:rPr>
                <w:rFonts w:ascii="宋体" w:hAnsi="宋体" w:cs="宋体"/>
                <w:color w:val="000000" w:themeColor="text1"/>
                <w:szCs w:val="21"/>
                <w:highlight w:val="none"/>
              </w:rPr>
            </w:pPr>
          </w:p>
        </w:tc>
      </w:tr>
    </w:tbl>
    <w:p>
      <w:pPr>
        <w:shd w:val="clear" w:color="auto" w:fill="FFFFFF"/>
        <w:spacing w:line="315" w:lineRule="atLeast"/>
        <w:rPr>
          <w:rFonts w:ascii="微软雅黑" w:hAnsi="微软雅黑" w:cs="宋体"/>
          <w:color w:val="000000" w:themeColor="text1"/>
          <w:szCs w:val="21"/>
          <w:highlight w:val="none"/>
        </w:rPr>
      </w:pPr>
    </w:p>
    <w:p>
      <w:pPr>
        <w:shd w:val="clear" w:color="auto" w:fill="FFFFFF"/>
        <w:spacing w:line="315" w:lineRule="atLeast"/>
        <w:rPr>
          <w:rFonts w:ascii="微软雅黑" w:hAnsi="微软雅黑" w:cs="宋体"/>
          <w:color w:val="000000" w:themeColor="text1"/>
          <w:sz w:val="28"/>
          <w:szCs w:val="28"/>
          <w:highlight w:val="none"/>
        </w:rPr>
      </w:pPr>
      <w:r>
        <w:rPr>
          <w:rFonts w:hint="eastAsia" w:ascii="微软雅黑" w:hAnsi="微软雅黑" w:cs="宋体"/>
          <w:color w:val="000000" w:themeColor="text1"/>
          <w:sz w:val="28"/>
          <w:szCs w:val="28"/>
          <w:highlight w:val="none"/>
        </w:rPr>
        <w:t>注：如有新增卡种，根据制作工艺及芯片容量采用中标单位相关报价结算。</w:t>
      </w:r>
    </w:p>
    <w:p>
      <w:pPr>
        <w:shd w:val="clear" w:color="auto" w:fill="FFFFFF"/>
        <w:spacing w:line="315" w:lineRule="atLeast"/>
        <w:rPr>
          <w:rFonts w:ascii="微软雅黑" w:hAnsi="微软雅黑" w:cs="宋体"/>
          <w:color w:val="000000" w:themeColor="text1"/>
          <w:szCs w:val="21"/>
          <w:highlight w:val="none"/>
        </w:rPr>
      </w:pPr>
    </w:p>
    <w:p>
      <w:pPr>
        <w:rPr>
          <w:rFonts w:ascii="宋体" w:hAnsi="宋体"/>
          <w:bCs/>
          <w:color w:val="000000" w:themeColor="text1"/>
          <w:sz w:val="28"/>
          <w:szCs w:val="28"/>
          <w:highlight w:val="none"/>
        </w:rPr>
      </w:pPr>
      <w:r>
        <w:rPr>
          <w:rFonts w:hint="eastAsia" w:ascii="宋体" w:hAnsi="宋体"/>
          <w:bCs/>
          <w:color w:val="000000" w:themeColor="text1"/>
          <w:sz w:val="28"/>
          <w:szCs w:val="28"/>
          <w:highlight w:val="none"/>
        </w:rPr>
        <w:t>二、私人银行IC卡工艺（采用高端卡款工艺，私人定制，预计采购量0.65万张）</w:t>
      </w:r>
    </w:p>
    <w:tbl>
      <w:tblPr>
        <w:tblStyle w:val="55"/>
        <w:tblW w:w="6521" w:type="dxa"/>
        <w:jc w:val="center"/>
        <w:tblInd w:w="-2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392"/>
        <w:gridCol w:w="51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05" w:hRule="atLeast"/>
          <w:jc w:val="center"/>
        </w:trPr>
        <w:tc>
          <w:tcPr>
            <w:tcW w:w="1392" w:type="dxa"/>
            <w:tcBorders>
              <w:top w:val="single" w:color="000000" w:sz="4" w:space="0"/>
              <w:left w:val="single" w:color="000000" w:sz="4" w:space="0"/>
              <w:bottom w:val="single" w:color="000000" w:sz="4" w:space="0"/>
              <w:right w:val="single" w:color="000000" w:sz="4" w:space="0"/>
            </w:tcBorders>
            <w:shd w:val="clear" w:color="auto" w:fill="DBE5F1" w:themeFill="accent1" w:themeFillTint="33"/>
            <w:vAlign w:val="center"/>
          </w:tcPr>
          <w:p>
            <w:pPr>
              <w:shd w:val="clear" w:color="auto" w:fill="FFFFFF"/>
              <w:spacing w:line="315" w:lineRule="atLeast"/>
              <w:jc w:val="center"/>
              <w:rPr>
                <w:rFonts w:ascii="微软雅黑" w:hAnsi="微软雅黑" w:cs="宋体"/>
                <w:b/>
                <w:color w:val="000000" w:themeColor="text1"/>
                <w:szCs w:val="21"/>
                <w:highlight w:val="none"/>
              </w:rPr>
            </w:pPr>
            <w:r>
              <w:rPr>
                <w:rFonts w:hint="eastAsia" w:ascii="微软雅黑" w:hAnsi="微软雅黑" w:cs="宋体"/>
                <w:b/>
                <w:color w:val="000000" w:themeColor="text1"/>
                <w:szCs w:val="21"/>
                <w:highlight w:val="none"/>
              </w:rPr>
              <w:t>工艺名称</w:t>
            </w:r>
          </w:p>
        </w:tc>
        <w:tc>
          <w:tcPr>
            <w:tcW w:w="5129" w:type="dxa"/>
            <w:tcBorders>
              <w:top w:val="single" w:color="000000" w:sz="4" w:space="0"/>
              <w:left w:val="single" w:color="000000" w:sz="4" w:space="0"/>
              <w:bottom w:val="single" w:color="000000" w:sz="4" w:space="0"/>
              <w:right w:val="single" w:color="000000" w:sz="4" w:space="0"/>
            </w:tcBorders>
            <w:shd w:val="clear" w:color="auto" w:fill="DBE5F1" w:themeFill="accent1" w:themeFillTint="33"/>
            <w:vAlign w:val="center"/>
          </w:tcPr>
          <w:p>
            <w:pPr>
              <w:shd w:val="clear" w:color="auto" w:fill="FFFFFF"/>
              <w:spacing w:line="315" w:lineRule="atLeast"/>
              <w:jc w:val="center"/>
              <w:rPr>
                <w:rFonts w:ascii="微软雅黑" w:hAnsi="微软雅黑" w:cs="宋体"/>
                <w:b/>
                <w:color w:val="000000" w:themeColor="text1"/>
                <w:szCs w:val="21"/>
                <w:highlight w:val="none"/>
              </w:rPr>
            </w:pPr>
            <w:r>
              <w:rPr>
                <w:rFonts w:hint="eastAsia" w:ascii="微软雅黑" w:hAnsi="微软雅黑" w:cs="宋体"/>
                <w:b/>
                <w:color w:val="000000" w:themeColor="text1"/>
                <w:szCs w:val="21"/>
                <w:highlight w:val="none"/>
              </w:rPr>
              <w:t>工艺描述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05" w:hRule="atLeast"/>
          <w:jc w:val="center"/>
        </w:trPr>
        <w:tc>
          <w:tcPr>
            <w:tcW w:w="1392" w:type="dxa"/>
            <w:tcBorders>
              <w:top w:val="single" w:color="000000" w:sz="4" w:space="0"/>
              <w:left w:val="single" w:color="000000" w:sz="4" w:space="0"/>
              <w:bottom w:val="single" w:color="000000" w:sz="4" w:space="0"/>
              <w:right w:val="single" w:color="000000" w:sz="4" w:space="0"/>
            </w:tcBorders>
            <w:shd w:val="clear" w:color="auto" w:fill="DBE5F1" w:themeFill="accent1" w:themeFillTint="33"/>
            <w:vAlign w:val="center"/>
          </w:tcPr>
          <w:p>
            <w:pPr>
              <w:shd w:val="clear" w:color="auto" w:fill="FFFFFF"/>
              <w:spacing w:line="315" w:lineRule="atLeast"/>
              <w:jc w:val="center"/>
              <w:rPr>
                <w:rFonts w:ascii="微软雅黑" w:hAnsi="微软雅黑" w:cs="宋体"/>
                <w:b/>
                <w:color w:val="000000" w:themeColor="text1"/>
                <w:szCs w:val="21"/>
                <w:highlight w:val="none"/>
              </w:rPr>
            </w:pPr>
            <w:r>
              <w:rPr>
                <w:rFonts w:ascii="微软雅黑" w:hAnsi="微软雅黑" w:cs="宋体"/>
                <w:b/>
                <w:color w:val="000000" w:themeColor="text1"/>
                <w:szCs w:val="21"/>
                <w:highlight w:val="none"/>
              </w:rPr>
              <w:t>珠光</w:t>
            </w:r>
            <w:r>
              <w:rPr>
                <w:rFonts w:hint="eastAsia" w:ascii="微软雅黑" w:hAnsi="微软雅黑" w:cs="宋体"/>
                <w:b/>
                <w:color w:val="000000" w:themeColor="text1"/>
                <w:szCs w:val="21"/>
                <w:highlight w:val="none"/>
              </w:rPr>
              <w:t>工艺</w:t>
            </w:r>
          </w:p>
        </w:tc>
        <w:tc>
          <w:tcPr>
            <w:tcW w:w="5129" w:type="dxa"/>
            <w:tcBorders>
              <w:top w:val="single" w:color="000000" w:sz="4" w:space="0"/>
              <w:left w:val="single" w:color="000000" w:sz="4" w:space="0"/>
              <w:bottom w:val="single" w:color="000000" w:sz="4" w:space="0"/>
              <w:right w:val="single" w:color="000000" w:sz="4" w:space="0"/>
            </w:tcBorders>
            <w:shd w:val="clear" w:color="auto" w:fill="DBE5F1" w:themeFill="accent1" w:themeFillTint="33"/>
            <w:vAlign w:val="center"/>
          </w:tcPr>
          <w:p>
            <w:pPr>
              <w:shd w:val="clear" w:color="auto" w:fill="FFFFFF"/>
              <w:spacing w:line="315" w:lineRule="atLeast"/>
              <w:rPr>
                <w:rFonts w:ascii="微软雅黑" w:hAnsi="微软雅黑" w:cs="宋体"/>
                <w:b/>
                <w:color w:val="000000" w:themeColor="text1"/>
                <w:szCs w:val="21"/>
                <w:highlight w:val="none"/>
              </w:rPr>
            </w:pPr>
            <w:r>
              <w:rPr>
                <w:rFonts w:ascii="微软雅黑" w:hAnsi="微软雅黑" w:cs="宋体"/>
                <w:b/>
                <w:color w:val="000000" w:themeColor="text1"/>
                <w:szCs w:val="21"/>
                <w:highlight w:val="none"/>
              </w:rPr>
              <w:t>珠光油墨与四色印刷相结合，整版或局部使用，使版面效果有金属颗粒感</w:t>
            </w:r>
            <w:r>
              <w:rPr>
                <w:rFonts w:hint="eastAsia" w:ascii="微软雅黑" w:hAnsi="微软雅黑" w:cs="宋体"/>
                <w:b/>
                <w:color w:val="000000" w:themeColor="text1"/>
                <w:szCs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05" w:hRule="atLeast"/>
          <w:jc w:val="center"/>
        </w:trPr>
        <w:tc>
          <w:tcPr>
            <w:tcW w:w="1392" w:type="dxa"/>
            <w:tcBorders>
              <w:top w:val="single" w:color="000000" w:sz="4" w:space="0"/>
              <w:left w:val="single" w:color="000000" w:sz="4" w:space="0"/>
              <w:bottom w:val="single" w:color="000000" w:sz="4" w:space="0"/>
              <w:right w:val="single" w:color="000000" w:sz="4" w:space="0"/>
            </w:tcBorders>
            <w:shd w:val="clear" w:color="auto" w:fill="DBE5F1" w:themeFill="accent1" w:themeFillTint="33"/>
            <w:vAlign w:val="center"/>
          </w:tcPr>
          <w:p>
            <w:pPr>
              <w:shd w:val="clear" w:color="auto" w:fill="FFFFFF"/>
              <w:spacing w:line="315" w:lineRule="atLeast"/>
              <w:jc w:val="center"/>
              <w:rPr>
                <w:rFonts w:ascii="微软雅黑" w:hAnsi="微软雅黑" w:cs="宋体"/>
                <w:b/>
                <w:color w:val="000000" w:themeColor="text1"/>
                <w:szCs w:val="21"/>
                <w:highlight w:val="none"/>
              </w:rPr>
            </w:pPr>
            <w:r>
              <w:rPr>
                <w:rFonts w:ascii="微软雅黑" w:hAnsi="微软雅黑" w:cs="宋体"/>
                <w:b/>
                <w:color w:val="000000" w:themeColor="text1"/>
                <w:szCs w:val="21"/>
                <w:highlight w:val="none"/>
              </w:rPr>
              <w:t>浮雕</w:t>
            </w:r>
            <w:r>
              <w:rPr>
                <w:rFonts w:hint="eastAsia" w:ascii="微软雅黑" w:hAnsi="微软雅黑" w:cs="宋体"/>
                <w:b/>
                <w:color w:val="000000" w:themeColor="text1"/>
                <w:szCs w:val="21"/>
                <w:highlight w:val="none"/>
              </w:rPr>
              <w:t>工艺</w:t>
            </w:r>
          </w:p>
        </w:tc>
        <w:tc>
          <w:tcPr>
            <w:tcW w:w="5129" w:type="dxa"/>
            <w:tcBorders>
              <w:top w:val="single" w:color="000000" w:sz="4" w:space="0"/>
              <w:left w:val="single" w:color="000000" w:sz="4" w:space="0"/>
              <w:bottom w:val="single" w:color="000000" w:sz="4" w:space="0"/>
              <w:right w:val="single" w:color="000000" w:sz="4" w:space="0"/>
            </w:tcBorders>
            <w:shd w:val="clear" w:color="auto" w:fill="DBE5F1" w:themeFill="accent1" w:themeFillTint="33"/>
            <w:vAlign w:val="center"/>
          </w:tcPr>
          <w:p>
            <w:pPr>
              <w:shd w:val="clear" w:color="auto" w:fill="FFFFFF"/>
              <w:spacing w:line="315" w:lineRule="atLeast"/>
              <w:rPr>
                <w:rFonts w:ascii="微软雅黑" w:hAnsi="微软雅黑" w:cs="宋体"/>
                <w:b/>
                <w:color w:val="000000" w:themeColor="text1"/>
                <w:szCs w:val="21"/>
                <w:highlight w:val="none"/>
              </w:rPr>
            </w:pPr>
            <w:r>
              <w:rPr>
                <w:rFonts w:ascii="微软雅黑" w:hAnsi="微软雅黑" w:cs="宋体"/>
                <w:b/>
                <w:color w:val="000000" w:themeColor="text1"/>
                <w:szCs w:val="21"/>
                <w:highlight w:val="none"/>
              </w:rPr>
              <w:t>利用特殊的材料并结合特殊的生产工艺，使卡面上的图形图案具有浮雕凸起的触感，使得画面设计立体真实</w:t>
            </w:r>
            <w:r>
              <w:rPr>
                <w:rFonts w:hint="eastAsia" w:ascii="微软雅黑" w:hAnsi="微软雅黑" w:cs="宋体"/>
                <w:b/>
                <w:color w:val="000000" w:themeColor="text1"/>
                <w:szCs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05" w:hRule="atLeast"/>
          <w:jc w:val="center"/>
        </w:trPr>
        <w:tc>
          <w:tcPr>
            <w:tcW w:w="1392" w:type="dxa"/>
            <w:tcBorders>
              <w:top w:val="single" w:color="000000" w:sz="4" w:space="0"/>
              <w:left w:val="single" w:color="000000" w:sz="4" w:space="0"/>
              <w:bottom w:val="single" w:color="000000" w:sz="4" w:space="0"/>
              <w:right w:val="single" w:color="000000" w:sz="4" w:space="0"/>
            </w:tcBorders>
            <w:shd w:val="clear" w:color="auto" w:fill="DBE5F1" w:themeFill="accent1" w:themeFillTint="33"/>
            <w:vAlign w:val="center"/>
          </w:tcPr>
          <w:p>
            <w:pPr>
              <w:shd w:val="clear" w:color="auto" w:fill="FFFFFF"/>
              <w:spacing w:line="315" w:lineRule="atLeast"/>
              <w:jc w:val="center"/>
              <w:rPr>
                <w:rFonts w:ascii="微软雅黑" w:hAnsi="微软雅黑" w:cs="宋体"/>
                <w:b/>
                <w:color w:val="000000" w:themeColor="text1"/>
                <w:szCs w:val="21"/>
                <w:highlight w:val="none"/>
              </w:rPr>
            </w:pPr>
            <w:r>
              <w:rPr>
                <w:rFonts w:hint="eastAsia" w:ascii="微软雅黑" w:hAnsi="微软雅黑" w:cs="宋体"/>
                <w:b/>
                <w:color w:val="000000" w:themeColor="text1"/>
                <w:szCs w:val="21"/>
                <w:highlight w:val="none"/>
              </w:rPr>
              <w:t>烫印工艺</w:t>
            </w:r>
          </w:p>
        </w:tc>
        <w:tc>
          <w:tcPr>
            <w:tcW w:w="5129" w:type="dxa"/>
            <w:tcBorders>
              <w:top w:val="single" w:color="000000" w:sz="4" w:space="0"/>
              <w:left w:val="single" w:color="000000" w:sz="4" w:space="0"/>
              <w:bottom w:val="single" w:color="000000" w:sz="4" w:space="0"/>
              <w:right w:val="single" w:color="000000" w:sz="4" w:space="0"/>
            </w:tcBorders>
            <w:shd w:val="clear" w:color="auto" w:fill="DBE5F1" w:themeFill="accent1" w:themeFillTint="33"/>
            <w:vAlign w:val="center"/>
          </w:tcPr>
          <w:p>
            <w:pPr>
              <w:shd w:val="clear" w:color="auto" w:fill="FFFFFF"/>
              <w:spacing w:line="315" w:lineRule="atLeast"/>
              <w:rPr>
                <w:rFonts w:ascii="微软雅黑" w:hAnsi="微软雅黑" w:cs="宋体"/>
                <w:b/>
                <w:color w:val="000000" w:themeColor="text1"/>
                <w:szCs w:val="21"/>
                <w:highlight w:val="none"/>
              </w:rPr>
            </w:pPr>
            <w:r>
              <w:rPr>
                <w:rFonts w:hint="eastAsia" w:ascii="微软雅黑" w:hAnsi="微软雅黑" w:cs="宋体"/>
                <w:b/>
                <w:color w:val="000000" w:themeColor="text1"/>
                <w:szCs w:val="21"/>
                <w:highlight w:val="none"/>
              </w:rPr>
              <w:t>利用不同图案的模具，通过高温把烫印材料转移到标准卡表面，卡片上烫印金、银箔料。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05" w:hRule="atLeast"/>
          <w:jc w:val="center"/>
        </w:trPr>
        <w:tc>
          <w:tcPr>
            <w:tcW w:w="1392" w:type="dxa"/>
            <w:tcBorders>
              <w:top w:val="single" w:color="000000" w:sz="4" w:space="0"/>
              <w:left w:val="single" w:color="000000" w:sz="4" w:space="0"/>
              <w:bottom w:val="single" w:color="000000" w:sz="4" w:space="0"/>
              <w:right w:val="single" w:color="000000" w:sz="4" w:space="0"/>
            </w:tcBorders>
            <w:shd w:val="clear" w:color="auto" w:fill="DBE5F1" w:themeFill="accent1" w:themeFillTint="33"/>
            <w:vAlign w:val="center"/>
          </w:tcPr>
          <w:p>
            <w:pPr>
              <w:shd w:val="clear" w:color="auto" w:fill="FFFFFF"/>
              <w:spacing w:line="315" w:lineRule="atLeast"/>
              <w:jc w:val="center"/>
              <w:rPr>
                <w:rFonts w:ascii="微软雅黑" w:hAnsi="微软雅黑" w:cs="宋体"/>
                <w:b/>
                <w:color w:val="000000" w:themeColor="text1"/>
                <w:szCs w:val="21"/>
                <w:highlight w:val="none"/>
              </w:rPr>
            </w:pPr>
            <w:r>
              <w:rPr>
                <w:rFonts w:ascii="微软雅黑" w:hAnsi="微软雅黑" w:cs="宋体"/>
                <w:b/>
                <w:color w:val="000000" w:themeColor="text1"/>
                <w:szCs w:val="21"/>
                <w:highlight w:val="none"/>
              </w:rPr>
              <w:t>镭射烫印</w:t>
            </w:r>
          </w:p>
        </w:tc>
        <w:tc>
          <w:tcPr>
            <w:tcW w:w="5129" w:type="dxa"/>
            <w:tcBorders>
              <w:top w:val="single" w:color="000000" w:sz="4" w:space="0"/>
              <w:left w:val="single" w:color="000000" w:sz="4" w:space="0"/>
              <w:bottom w:val="single" w:color="000000" w:sz="4" w:space="0"/>
              <w:right w:val="single" w:color="000000" w:sz="4" w:space="0"/>
            </w:tcBorders>
            <w:shd w:val="clear" w:color="auto" w:fill="DBE5F1" w:themeFill="accent1" w:themeFillTint="33"/>
            <w:vAlign w:val="center"/>
          </w:tcPr>
          <w:p>
            <w:pPr>
              <w:shd w:val="clear" w:color="auto" w:fill="FFFFFF"/>
              <w:spacing w:line="315" w:lineRule="atLeast"/>
              <w:rPr>
                <w:rFonts w:ascii="微软雅黑" w:hAnsi="微软雅黑" w:cs="宋体"/>
                <w:b/>
                <w:color w:val="000000" w:themeColor="text1"/>
                <w:szCs w:val="21"/>
                <w:highlight w:val="none"/>
              </w:rPr>
            </w:pPr>
            <w:r>
              <w:rPr>
                <w:rFonts w:ascii="微软雅黑" w:hAnsi="微软雅黑" w:cs="宋体"/>
                <w:b/>
                <w:color w:val="000000" w:themeColor="text1"/>
                <w:szCs w:val="21"/>
                <w:highlight w:val="none"/>
              </w:rPr>
              <w:t>利用不同图案的模具，通过高温把烫印材料转移到标准卡表面，呈七彩色。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05" w:hRule="atLeast"/>
          <w:jc w:val="center"/>
        </w:trPr>
        <w:tc>
          <w:tcPr>
            <w:tcW w:w="1392" w:type="dxa"/>
            <w:tcBorders>
              <w:top w:val="single" w:color="000000" w:sz="4" w:space="0"/>
              <w:left w:val="single" w:color="000000" w:sz="4" w:space="0"/>
              <w:bottom w:val="single" w:color="000000" w:sz="4" w:space="0"/>
              <w:right w:val="single" w:color="000000" w:sz="4" w:space="0"/>
            </w:tcBorders>
            <w:shd w:val="clear" w:color="auto" w:fill="DBE5F1" w:themeFill="accent1" w:themeFillTint="33"/>
            <w:vAlign w:val="center"/>
          </w:tcPr>
          <w:p>
            <w:pPr>
              <w:shd w:val="clear" w:color="auto" w:fill="FFFFFF"/>
              <w:spacing w:line="315" w:lineRule="atLeast"/>
              <w:jc w:val="center"/>
              <w:rPr>
                <w:rFonts w:ascii="微软雅黑" w:hAnsi="微软雅黑" w:cs="宋体"/>
                <w:b/>
                <w:color w:val="000000" w:themeColor="text1"/>
                <w:szCs w:val="21"/>
                <w:highlight w:val="none"/>
              </w:rPr>
            </w:pPr>
            <w:r>
              <w:rPr>
                <w:rFonts w:ascii="微软雅黑" w:hAnsi="微软雅黑" w:cs="宋体"/>
                <w:b/>
                <w:color w:val="000000" w:themeColor="text1"/>
                <w:szCs w:val="21"/>
                <w:highlight w:val="none"/>
              </w:rPr>
              <w:t>彩色磁条</w:t>
            </w:r>
          </w:p>
        </w:tc>
        <w:tc>
          <w:tcPr>
            <w:tcW w:w="5129" w:type="dxa"/>
            <w:tcBorders>
              <w:top w:val="single" w:color="000000" w:sz="4" w:space="0"/>
              <w:left w:val="single" w:color="000000" w:sz="4" w:space="0"/>
              <w:bottom w:val="single" w:color="000000" w:sz="4" w:space="0"/>
              <w:right w:val="single" w:color="000000" w:sz="4" w:space="0"/>
            </w:tcBorders>
            <w:shd w:val="clear" w:color="auto" w:fill="DBE5F1" w:themeFill="accent1" w:themeFillTint="33"/>
            <w:vAlign w:val="center"/>
          </w:tcPr>
          <w:p>
            <w:pPr>
              <w:shd w:val="clear" w:color="auto" w:fill="FFFFFF"/>
              <w:spacing w:line="315" w:lineRule="atLeast"/>
              <w:rPr>
                <w:rFonts w:ascii="微软雅黑" w:hAnsi="微软雅黑" w:cs="宋体"/>
                <w:b/>
                <w:color w:val="000000" w:themeColor="text1"/>
                <w:szCs w:val="21"/>
                <w:highlight w:val="none"/>
              </w:rPr>
            </w:pPr>
            <w:r>
              <w:rPr>
                <w:rFonts w:ascii="微软雅黑" w:hAnsi="微软雅黑" w:cs="宋体"/>
                <w:b/>
                <w:color w:val="000000" w:themeColor="text1"/>
                <w:szCs w:val="21"/>
                <w:highlight w:val="none"/>
              </w:rPr>
              <w:t>磁条颜色可选金/银/红/蓝/绿等</w:t>
            </w:r>
            <w:r>
              <w:rPr>
                <w:rFonts w:hint="eastAsia" w:ascii="微软雅黑" w:hAnsi="微软雅黑" w:cs="宋体"/>
                <w:b/>
                <w:color w:val="000000" w:themeColor="text1"/>
                <w:szCs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05" w:hRule="atLeast"/>
          <w:jc w:val="center"/>
        </w:trPr>
        <w:tc>
          <w:tcPr>
            <w:tcW w:w="1392" w:type="dxa"/>
            <w:tcBorders>
              <w:top w:val="single" w:color="000000" w:sz="4" w:space="0"/>
              <w:left w:val="single" w:color="000000" w:sz="4" w:space="0"/>
              <w:bottom w:val="single" w:color="000000" w:sz="4" w:space="0"/>
              <w:right w:val="single" w:color="000000" w:sz="4" w:space="0"/>
            </w:tcBorders>
            <w:shd w:val="clear" w:color="auto" w:fill="DBE5F1" w:themeFill="accent1" w:themeFillTint="33"/>
            <w:vAlign w:val="center"/>
          </w:tcPr>
          <w:p>
            <w:pPr>
              <w:shd w:val="clear" w:color="auto" w:fill="FFFFFF"/>
              <w:spacing w:line="315" w:lineRule="atLeast"/>
              <w:jc w:val="center"/>
              <w:rPr>
                <w:rFonts w:ascii="微软雅黑" w:hAnsi="微软雅黑" w:cs="宋体"/>
                <w:b/>
                <w:color w:val="000000" w:themeColor="text1"/>
                <w:szCs w:val="21"/>
                <w:highlight w:val="none"/>
              </w:rPr>
            </w:pPr>
            <w:r>
              <w:rPr>
                <w:rFonts w:ascii="微软雅黑" w:hAnsi="微软雅黑" w:cs="宋体"/>
                <w:b/>
                <w:color w:val="000000" w:themeColor="text1"/>
                <w:szCs w:val="21"/>
                <w:highlight w:val="none"/>
              </w:rPr>
              <w:t>隐形磁条</w:t>
            </w:r>
          </w:p>
        </w:tc>
        <w:tc>
          <w:tcPr>
            <w:tcW w:w="5129" w:type="dxa"/>
            <w:tcBorders>
              <w:top w:val="single" w:color="000000" w:sz="4" w:space="0"/>
              <w:left w:val="single" w:color="000000" w:sz="4" w:space="0"/>
              <w:bottom w:val="single" w:color="000000" w:sz="4" w:space="0"/>
              <w:right w:val="single" w:color="000000" w:sz="4" w:space="0"/>
            </w:tcBorders>
            <w:shd w:val="clear" w:color="auto" w:fill="DBE5F1" w:themeFill="accent1" w:themeFillTint="33"/>
            <w:vAlign w:val="center"/>
          </w:tcPr>
          <w:p>
            <w:pPr>
              <w:shd w:val="clear" w:color="auto" w:fill="FFFFFF"/>
              <w:spacing w:line="315" w:lineRule="atLeast"/>
              <w:rPr>
                <w:rFonts w:ascii="微软雅黑" w:hAnsi="微软雅黑" w:cs="宋体"/>
                <w:b/>
                <w:color w:val="000000" w:themeColor="text1"/>
                <w:szCs w:val="21"/>
                <w:highlight w:val="none"/>
              </w:rPr>
            </w:pPr>
            <w:r>
              <w:rPr>
                <w:rFonts w:ascii="微软雅黑" w:hAnsi="微软雅黑" w:cs="宋体"/>
                <w:b/>
                <w:color w:val="000000" w:themeColor="text1"/>
                <w:szCs w:val="21"/>
                <w:highlight w:val="none"/>
              </w:rPr>
              <w:t>采用特殊油墨覆盖磁条，不影响磁条的读写效果或卡面的设计效果。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05" w:hRule="atLeast"/>
          <w:jc w:val="center"/>
        </w:trPr>
        <w:tc>
          <w:tcPr>
            <w:tcW w:w="1392" w:type="dxa"/>
            <w:tcBorders>
              <w:top w:val="single" w:color="000000" w:sz="4" w:space="0"/>
              <w:left w:val="single" w:color="000000" w:sz="4" w:space="0"/>
              <w:bottom w:val="single" w:color="000000" w:sz="4" w:space="0"/>
              <w:right w:val="single" w:color="000000" w:sz="4" w:space="0"/>
            </w:tcBorders>
            <w:shd w:val="clear" w:color="auto" w:fill="DBE5F1" w:themeFill="accent1" w:themeFillTint="33"/>
            <w:vAlign w:val="center"/>
          </w:tcPr>
          <w:p>
            <w:pPr>
              <w:shd w:val="clear" w:color="auto" w:fill="FFFFFF"/>
              <w:spacing w:line="315" w:lineRule="atLeast"/>
              <w:jc w:val="center"/>
              <w:rPr>
                <w:rFonts w:ascii="微软雅黑" w:hAnsi="微软雅黑" w:cs="宋体"/>
                <w:b/>
                <w:color w:val="000000" w:themeColor="text1"/>
                <w:szCs w:val="21"/>
                <w:highlight w:val="none"/>
              </w:rPr>
            </w:pPr>
            <w:r>
              <w:rPr>
                <w:rFonts w:hint="eastAsia" w:ascii="微软雅黑" w:hAnsi="微软雅黑" w:cs="宋体"/>
                <w:b/>
                <w:color w:val="000000" w:themeColor="text1"/>
                <w:szCs w:val="21"/>
                <w:highlight w:val="none"/>
              </w:rPr>
              <w:t>内置立体</w:t>
            </w:r>
          </w:p>
        </w:tc>
        <w:tc>
          <w:tcPr>
            <w:tcW w:w="5129" w:type="dxa"/>
            <w:tcBorders>
              <w:top w:val="single" w:color="000000" w:sz="4" w:space="0"/>
              <w:left w:val="single" w:color="000000" w:sz="4" w:space="0"/>
              <w:bottom w:val="single" w:color="000000" w:sz="4" w:space="0"/>
              <w:right w:val="single" w:color="000000" w:sz="4" w:space="0"/>
            </w:tcBorders>
            <w:shd w:val="clear" w:color="auto" w:fill="DBE5F1" w:themeFill="accent1" w:themeFillTint="33"/>
            <w:vAlign w:val="center"/>
          </w:tcPr>
          <w:p>
            <w:pPr>
              <w:shd w:val="clear" w:color="auto" w:fill="FFFFFF"/>
              <w:spacing w:line="315" w:lineRule="atLeast"/>
              <w:rPr>
                <w:rFonts w:ascii="微软雅黑" w:hAnsi="微软雅黑" w:cs="宋体"/>
                <w:b/>
                <w:color w:val="000000" w:themeColor="text1"/>
                <w:szCs w:val="21"/>
                <w:highlight w:val="none"/>
              </w:rPr>
            </w:pPr>
            <w:r>
              <w:rPr>
                <w:rFonts w:hint="eastAsia" w:ascii="微软雅黑" w:hAnsi="微软雅黑" w:cs="宋体"/>
                <w:b/>
                <w:color w:val="000000" w:themeColor="text1"/>
                <w:szCs w:val="21"/>
                <w:highlight w:val="none"/>
              </w:rPr>
              <w:t>内置立体工艺：采用普通材料，通过特殊油墨，对指定图案，制作出卡内带有视觉立体效果（即视觉上有凹凸效果，但触感并无凹凸感）。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05" w:hRule="atLeast"/>
          <w:jc w:val="center"/>
        </w:trPr>
        <w:tc>
          <w:tcPr>
            <w:tcW w:w="1392" w:type="dxa"/>
            <w:tcBorders>
              <w:top w:val="single" w:color="000000" w:sz="4" w:space="0"/>
              <w:left w:val="single" w:color="000000" w:sz="4" w:space="0"/>
              <w:bottom w:val="single" w:color="000000" w:sz="4" w:space="0"/>
              <w:right w:val="single" w:color="000000" w:sz="4" w:space="0"/>
            </w:tcBorders>
            <w:shd w:val="clear" w:color="auto" w:fill="DBE5F1" w:themeFill="accent1" w:themeFillTint="33"/>
            <w:vAlign w:val="center"/>
          </w:tcPr>
          <w:p>
            <w:pPr>
              <w:shd w:val="clear" w:color="auto" w:fill="FFFFFF"/>
              <w:spacing w:line="315" w:lineRule="atLeast"/>
              <w:jc w:val="center"/>
              <w:rPr>
                <w:rFonts w:ascii="微软雅黑" w:hAnsi="微软雅黑" w:cs="宋体"/>
                <w:b/>
                <w:color w:val="000000" w:themeColor="text1"/>
                <w:szCs w:val="21"/>
                <w:highlight w:val="none"/>
              </w:rPr>
            </w:pPr>
            <w:r>
              <w:rPr>
                <w:rFonts w:ascii="微软雅黑" w:hAnsi="微软雅黑" w:cs="宋体"/>
                <w:b/>
                <w:color w:val="000000" w:themeColor="text1"/>
                <w:szCs w:val="21"/>
                <w:highlight w:val="none"/>
              </w:rPr>
              <w:t>多层立体效果</w:t>
            </w:r>
          </w:p>
        </w:tc>
        <w:tc>
          <w:tcPr>
            <w:tcW w:w="5129" w:type="dxa"/>
            <w:tcBorders>
              <w:top w:val="single" w:color="000000" w:sz="4" w:space="0"/>
              <w:left w:val="single" w:color="000000" w:sz="4" w:space="0"/>
              <w:bottom w:val="single" w:color="000000" w:sz="4" w:space="0"/>
              <w:right w:val="single" w:color="000000" w:sz="4" w:space="0"/>
            </w:tcBorders>
            <w:shd w:val="clear" w:color="auto" w:fill="DBE5F1" w:themeFill="accent1" w:themeFillTint="33"/>
            <w:vAlign w:val="center"/>
          </w:tcPr>
          <w:p>
            <w:pPr>
              <w:shd w:val="clear" w:color="auto" w:fill="FFFFFF"/>
              <w:spacing w:line="315" w:lineRule="atLeast"/>
              <w:rPr>
                <w:rFonts w:ascii="微软雅黑" w:hAnsi="微软雅黑" w:cs="宋体"/>
                <w:b/>
                <w:color w:val="000000" w:themeColor="text1"/>
                <w:szCs w:val="21"/>
                <w:highlight w:val="none"/>
              </w:rPr>
            </w:pPr>
            <w:r>
              <w:rPr>
                <w:rFonts w:ascii="微软雅黑" w:hAnsi="微软雅黑" w:cs="宋体"/>
                <w:b/>
                <w:color w:val="000000" w:themeColor="text1"/>
                <w:szCs w:val="21"/>
                <w:highlight w:val="none"/>
              </w:rPr>
              <w:t>在有限的卡体厚度下利用卡片结构的层次差，形成立体效果。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05" w:hRule="atLeast"/>
          <w:jc w:val="center"/>
        </w:trPr>
        <w:tc>
          <w:tcPr>
            <w:tcW w:w="1392" w:type="dxa"/>
            <w:tcBorders>
              <w:top w:val="single" w:color="000000" w:sz="4" w:space="0"/>
              <w:left w:val="single" w:color="000000" w:sz="4" w:space="0"/>
              <w:bottom w:val="single" w:color="000000" w:sz="4" w:space="0"/>
              <w:right w:val="single" w:color="000000" w:sz="4" w:space="0"/>
            </w:tcBorders>
            <w:shd w:val="clear" w:color="auto" w:fill="DBE5F1" w:themeFill="accent1" w:themeFillTint="33"/>
            <w:vAlign w:val="center"/>
          </w:tcPr>
          <w:p>
            <w:pPr>
              <w:shd w:val="clear" w:color="auto" w:fill="FFFFFF"/>
              <w:spacing w:line="315" w:lineRule="atLeast"/>
              <w:jc w:val="center"/>
              <w:rPr>
                <w:rFonts w:ascii="微软雅黑" w:hAnsi="微软雅黑" w:cs="宋体"/>
                <w:b/>
                <w:color w:val="000000" w:themeColor="text1"/>
                <w:szCs w:val="21"/>
                <w:highlight w:val="none"/>
              </w:rPr>
            </w:pPr>
            <w:r>
              <w:rPr>
                <w:rFonts w:hint="eastAsia" w:ascii="微软雅黑" w:hAnsi="微软雅黑" w:cs="宋体"/>
                <w:b/>
                <w:color w:val="000000" w:themeColor="text1"/>
                <w:szCs w:val="21"/>
                <w:highlight w:val="none"/>
              </w:rPr>
              <w:t>全息立体效果</w:t>
            </w:r>
          </w:p>
        </w:tc>
        <w:tc>
          <w:tcPr>
            <w:tcW w:w="5129" w:type="dxa"/>
            <w:tcBorders>
              <w:top w:val="single" w:color="000000" w:sz="4" w:space="0"/>
              <w:left w:val="single" w:color="000000" w:sz="4" w:space="0"/>
              <w:bottom w:val="single" w:color="000000" w:sz="4" w:space="0"/>
              <w:right w:val="single" w:color="000000" w:sz="4" w:space="0"/>
            </w:tcBorders>
            <w:shd w:val="clear" w:color="auto" w:fill="DBE5F1" w:themeFill="accent1" w:themeFillTint="33"/>
            <w:vAlign w:val="center"/>
          </w:tcPr>
          <w:p>
            <w:pPr>
              <w:shd w:val="clear" w:color="auto" w:fill="FFFFFF"/>
              <w:spacing w:line="315" w:lineRule="atLeast"/>
              <w:rPr>
                <w:rFonts w:ascii="微软雅黑" w:hAnsi="微软雅黑" w:cs="宋体"/>
                <w:b/>
                <w:color w:val="000000" w:themeColor="text1"/>
                <w:szCs w:val="21"/>
                <w:highlight w:val="none"/>
              </w:rPr>
            </w:pPr>
            <w:r>
              <w:rPr>
                <w:rFonts w:hint="eastAsia" w:ascii="微软雅黑" w:hAnsi="微软雅黑" w:cs="宋体"/>
                <w:b/>
                <w:color w:val="000000" w:themeColor="text1"/>
                <w:szCs w:val="21"/>
                <w:highlight w:val="none"/>
              </w:rPr>
              <w:t>利用不同图案的模具，通过高温把全息立体材料转移到标准卡表面，卡片呈极强的金属、立体效果。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05" w:hRule="atLeast"/>
          <w:jc w:val="center"/>
        </w:trPr>
        <w:tc>
          <w:tcPr>
            <w:tcW w:w="1392" w:type="dxa"/>
            <w:tcBorders>
              <w:top w:val="single" w:color="000000" w:sz="4" w:space="0"/>
              <w:left w:val="single" w:color="000000" w:sz="4" w:space="0"/>
              <w:bottom w:val="single" w:color="000000" w:sz="4" w:space="0"/>
              <w:right w:val="single" w:color="000000" w:sz="4" w:space="0"/>
            </w:tcBorders>
            <w:shd w:val="clear" w:color="auto" w:fill="DBE5F1" w:themeFill="accent1" w:themeFillTint="33"/>
            <w:vAlign w:val="center"/>
          </w:tcPr>
          <w:p>
            <w:pPr>
              <w:shd w:val="clear" w:color="auto" w:fill="FFFFFF"/>
              <w:spacing w:line="315" w:lineRule="atLeast"/>
              <w:jc w:val="center"/>
              <w:rPr>
                <w:rFonts w:ascii="微软雅黑" w:hAnsi="微软雅黑" w:cs="宋体"/>
                <w:b/>
                <w:color w:val="000000" w:themeColor="text1"/>
                <w:szCs w:val="21"/>
                <w:highlight w:val="none"/>
              </w:rPr>
            </w:pPr>
            <w:r>
              <w:rPr>
                <w:rFonts w:hint="eastAsia" w:ascii="微软雅黑" w:hAnsi="微软雅黑" w:cs="宋体"/>
                <w:b/>
                <w:color w:val="000000" w:themeColor="text1"/>
                <w:szCs w:val="21"/>
                <w:highlight w:val="none"/>
              </w:rPr>
              <w:t>立体纹路卡</w:t>
            </w:r>
          </w:p>
        </w:tc>
        <w:tc>
          <w:tcPr>
            <w:tcW w:w="5129" w:type="dxa"/>
            <w:tcBorders>
              <w:top w:val="single" w:color="000000" w:sz="4" w:space="0"/>
              <w:left w:val="single" w:color="000000" w:sz="4" w:space="0"/>
              <w:bottom w:val="single" w:color="000000" w:sz="4" w:space="0"/>
              <w:right w:val="single" w:color="000000" w:sz="4" w:space="0"/>
            </w:tcBorders>
            <w:shd w:val="clear" w:color="auto" w:fill="DBE5F1" w:themeFill="accent1" w:themeFillTint="33"/>
            <w:vAlign w:val="center"/>
          </w:tcPr>
          <w:p>
            <w:pPr>
              <w:shd w:val="clear" w:color="auto" w:fill="FFFFFF"/>
              <w:spacing w:line="315" w:lineRule="atLeast"/>
              <w:rPr>
                <w:rFonts w:ascii="微软雅黑" w:hAnsi="微软雅黑" w:cs="宋体"/>
                <w:b/>
                <w:color w:val="000000" w:themeColor="text1"/>
                <w:szCs w:val="21"/>
                <w:highlight w:val="none"/>
              </w:rPr>
            </w:pPr>
            <w:r>
              <w:rPr>
                <w:rFonts w:hint="eastAsia" w:ascii="微软雅黑" w:hAnsi="微软雅黑" w:cs="宋体"/>
                <w:b/>
                <w:color w:val="000000" w:themeColor="text1"/>
                <w:szCs w:val="21"/>
                <w:highlight w:val="none"/>
              </w:rPr>
              <w:t>卡片表面覆一层特殊的膜（水立方膜、拉丝膜等），使卡片有立体纹路效果。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05" w:hRule="atLeast"/>
          <w:jc w:val="center"/>
        </w:trPr>
        <w:tc>
          <w:tcPr>
            <w:tcW w:w="1392" w:type="dxa"/>
            <w:tcBorders>
              <w:top w:val="single" w:color="000000" w:sz="4" w:space="0"/>
              <w:left w:val="single" w:color="000000" w:sz="4" w:space="0"/>
              <w:bottom w:val="single" w:color="000000" w:sz="4" w:space="0"/>
              <w:right w:val="single" w:color="000000" w:sz="4" w:space="0"/>
            </w:tcBorders>
            <w:shd w:val="clear" w:color="auto" w:fill="DBE5F1" w:themeFill="accent1" w:themeFillTint="33"/>
            <w:vAlign w:val="center"/>
          </w:tcPr>
          <w:p>
            <w:pPr>
              <w:shd w:val="clear" w:color="auto" w:fill="FFFFFF"/>
              <w:spacing w:line="315" w:lineRule="atLeast"/>
              <w:jc w:val="center"/>
              <w:rPr>
                <w:rFonts w:ascii="微软雅黑" w:hAnsi="微软雅黑" w:cs="宋体"/>
                <w:b/>
                <w:color w:val="000000" w:themeColor="text1"/>
                <w:szCs w:val="21"/>
                <w:highlight w:val="none"/>
              </w:rPr>
            </w:pPr>
            <w:r>
              <w:rPr>
                <w:rFonts w:ascii="微软雅黑" w:hAnsi="微软雅黑" w:cs="宋体"/>
                <w:b/>
                <w:color w:val="000000" w:themeColor="text1"/>
                <w:szCs w:val="21"/>
                <w:highlight w:val="none"/>
              </w:rPr>
              <w:t>贝壳工艺</w:t>
            </w:r>
          </w:p>
        </w:tc>
        <w:tc>
          <w:tcPr>
            <w:tcW w:w="5129" w:type="dxa"/>
            <w:tcBorders>
              <w:top w:val="single" w:color="000000" w:sz="4" w:space="0"/>
              <w:left w:val="single" w:color="000000" w:sz="4" w:space="0"/>
              <w:bottom w:val="single" w:color="000000" w:sz="4" w:space="0"/>
              <w:right w:val="single" w:color="000000" w:sz="4" w:space="0"/>
            </w:tcBorders>
            <w:shd w:val="clear" w:color="auto" w:fill="DBE5F1" w:themeFill="accent1" w:themeFillTint="33"/>
            <w:vAlign w:val="center"/>
          </w:tcPr>
          <w:p>
            <w:pPr>
              <w:shd w:val="clear" w:color="auto" w:fill="FFFFFF"/>
              <w:spacing w:line="315" w:lineRule="atLeast"/>
              <w:rPr>
                <w:rFonts w:ascii="微软雅黑" w:hAnsi="微软雅黑" w:cs="宋体"/>
                <w:b/>
                <w:color w:val="000000" w:themeColor="text1"/>
                <w:szCs w:val="21"/>
                <w:highlight w:val="none"/>
              </w:rPr>
            </w:pPr>
            <w:r>
              <w:rPr>
                <w:rFonts w:ascii="微软雅黑" w:hAnsi="微软雅黑" w:cs="宋体"/>
                <w:b/>
                <w:color w:val="000000" w:themeColor="text1"/>
                <w:szCs w:val="21"/>
                <w:highlight w:val="none"/>
              </w:rPr>
              <w:t>利用立体闪炫贝壳纹理来呈现卡片的时尚元素，更在设计中充分讲究了图案和色彩的完美结合。用于增强卡片版面主体图案或线条的彩色纹理效果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05" w:hRule="atLeast"/>
          <w:jc w:val="center"/>
        </w:trPr>
        <w:tc>
          <w:tcPr>
            <w:tcW w:w="1392" w:type="dxa"/>
            <w:tcBorders>
              <w:top w:val="single" w:color="000000" w:sz="4" w:space="0"/>
              <w:left w:val="single" w:color="000000" w:sz="4" w:space="0"/>
              <w:bottom w:val="single" w:color="000000" w:sz="4" w:space="0"/>
              <w:right w:val="single" w:color="000000" w:sz="4" w:space="0"/>
            </w:tcBorders>
            <w:shd w:val="clear" w:color="auto" w:fill="DBE5F1" w:themeFill="accent1" w:themeFillTint="33"/>
            <w:vAlign w:val="center"/>
          </w:tcPr>
          <w:p>
            <w:pPr>
              <w:shd w:val="clear" w:color="auto" w:fill="FFFFFF"/>
              <w:spacing w:line="315" w:lineRule="atLeast"/>
              <w:jc w:val="center"/>
              <w:rPr>
                <w:rFonts w:ascii="微软雅黑" w:hAnsi="微软雅黑" w:cs="宋体"/>
                <w:b/>
                <w:color w:val="000000" w:themeColor="text1"/>
                <w:szCs w:val="21"/>
                <w:highlight w:val="none"/>
              </w:rPr>
            </w:pPr>
            <w:r>
              <w:rPr>
                <w:rFonts w:ascii="微软雅黑" w:hAnsi="微软雅黑" w:cs="宋体"/>
                <w:b/>
                <w:color w:val="000000" w:themeColor="text1"/>
                <w:szCs w:val="21"/>
                <w:highlight w:val="none"/>
              </w:rPr>
              <w:t>立金</w:t>
            </w:r>
          </w:p>
        </w:tc>
        <w:tc>
          <w:tcPr>
            <w:tcW w:w="5129" w:type="dxa"/>
            <w:tcBorders>
              <w:top w:val="single" w:color="000000" w:sz="4" w:space="0"/>
              <w:left w:val="single" w:color="000000" w:sz="4" w:space="0"/>
              <w:bottom w:val="single" w:color="000000" w:sz="4" w:space="0"/>
              <w:right w:val="single" w:color="000000" w:sz="4" w:space="0"/>
            </w:tcBorders>
            <w:shd w:val="clear" w:color="auto" w:fill="DBE5F1" w:themeFill="accent1" w:themeFillTint="33"/>
            <w:vAlign w:val="center"/>
          </w:tcPr>
          <w:p>
            <w:pPr>
              <w:shd w:val="clear" w:color="auto" w:fill="FFFFFF"/>
              <w:spacing w:line="315" w:lineRule="atLeast"/>
              <w:rPr>
                <w:rFonts w:ascii="微软雅黑" w:hAnsi="微软雅黑" w:cs="宋体"/>
                <w:b/>
                <w:color w:val="000000" w:themeColor="text1"/>
                <w:szCs w:val="21"/>
                <w:highlight w:val="none"/>
              </w:rPr>
            </w:pPr>
            <w:r>
              <w:rPr>
                <w:rFonts w:ascii="微软雅黑" w:hAnsi="微软雅黑" w:cs="宋体"/>
                <w:b/>
                <w:color w:val="000000" w:themeColor="text1"/>
                <w:szCs w:val="21"/>
                <w:highlight w:val="none"/>
              </w:rPr>
              <w:t>卡片内层嵌入金属材料，根据设计图案定制。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05" w:hRule="atLeast"/>
          <w:jc w:val="center"/>
        </w:trPr>
        <w:tc>
          <w:tcPr>
            <w:tcW w:w="1392" w:type="dxa"/>
            <w:tcBorders>
              <w:top w:val="single" w:color="000000" w:sz="4" w:space="0"/>
              <w:left w:val="single" w:color="000000" w:sz="4" w:space="0"/>
              <w:bottom w:val="single" w:color="000000" w:sz="4" w:space="0"/>
              <w:right w:val="single" w:color="000000" w:sz="4" w:space="0"/>
            </w:tcBorders>
            <w:shd w:val="clear" w:color="auto" w:fill="DBE5F1" w:themeFill="accent1" w:themeFillTint="33"/>
            <w:vAlign w:val="center"/>
          </w:tcPr>
          <w:p>
            <w:pPr>
              <w:shd w:val="clear" w:color="auto" w:fill="FFFFFF"/>
              <w:spacing w:line="315" w:lineRule="atLeast"/>
              <w:jc w:val="center"/>
              <w:rPr>
                <w:rFonts w:ascii="微软雅黑" w:hAnsi="微软雅黑" w:cs="宋体"/>
                <w:b/>
                <w:color w:val="000000" w:themeColor="text1"/>
                <w:szCs w:val="21"/>
                <w:highlight w:val="none"/>
              </w:rPr>
            </w:pPr>
            <w:r>
              <w:rPr>
                <w:rFonts w:hint="eastAsia" w:ascii="微软雅黑" w:hAnsi="微软雅黑" w:cs="宋体"/>
                <w:b/>
                <w:color w:val="000000" w:themeColor="text1"/>
                <w:szCs w:val="21"/>
                <w:highlight w:val="none"/>
              </w:rPr>
              <w:t>镭射片材</w:t>
            </w:r>
          </w:p>
          <w:p>
            <w:pPr>
              <w:shd w:val="clear" w:color="auto" w:fill="FFFFFF"/>
              <w:spacing w:line="315" w:lineRule="atLeast"/>
              <w:jc w:val="center"/>
              <w:rPr>
                <w:rFonts w:ascii="微软雅黑" w:hAnsi="微软雅黑" w:cs="宋体"/>
                <w:b/>
                <w:color w:val="000000" w:themeColor="text1"/>
                <w:szCs w:val="21"/>
                <w:highlight w:val="none"/>
              </w:rPr>
            </w:pPr>
            <w:r>
              <w:rPr>
                <w:rFonts w:hint="eastAsia" w:ascii="微软雅黑" w:hAnsi="微软雅黑" w:cs="宋体"/>
                <w:b/>
                <w:color w:val="000000" w:themeColor="text1"/>
                <w:szCs w:val="21"/>
                <w:highlight w:val="none"/>
              </w:rPr>
              <w:t>（镜面效果）</w:t>
            </w:r>
          </w:p>
        </w:tc>
        <w:tc>
          <w:tcPr>
            <w:tcW w:w="5129" w:type="dxa"/>
            <w:tcBorders>
              <w:top w:val="single" w:color="000000" w:sz="4" w:space="0"/>
              <w:left w:val="single" w:color="000000" w:sz="4" w:space="0"/>
              <w:bottom w:val="single" w:color="000000" w:sz="4" w:space="0"/>
              <w:right w:val="single" w:color="000000" w:sz="4" w:space="0"/>
            </w:tcBorders>
            <w:shd w:val="clear" w:color="auto" w:fill="DBE5F1" w:themeFill="accent1" w:themeFillTint="33"/>
            <w:vAlign w:val="center"/>
          </w:tcPr>
          <w:p>
            <w:pPr>
              <w:shd w:val="clear" w:color="auto" w:fill="FFFFFF"/>
              <w:spacing w:line="315" w:lineRule="atLeast"/>
              <w:rPr>
                <w:rFonts w:ascii="微软雅黑" w:hAnsi="微软雅黑" w:cs="宋体"/>
                <w:b/>
                <w:color w:val="000000" w:themeColor="text1"/>
                <w:szCs w:val="21"/>
                <w:highlight w:val="none"/>
              </w:rPr>
            </w:pPr>
            <w:r>
              <w:rPr>
                <w:rFonts w:ascii="微软雅黑" w:hAnsi="微软雅黑" w:cs="宋体"/>
                <w:b/>
                <w:color w:val="000000" w:themeColor="text1"/>
                <w:szCs w:val="21"/>
                <w:highlight w:val="none"/>
              </w:rPr>
              <w:t>使用</w:t>
            </w:r>
            <w:r>
              <w:rPr>
                <w:rFonts w:hint="eastAsia" w:ascii="微软雅黑" w:hAnsi="微软雅黑" w:cs="宋体"/>
                <w:b/>
                <w:color w:val="000000" w:themeColor="text1"/>
                <w:szCs w:val="21"/>
                <w:highlight w:val="none"/>
              </w:rPr>
              <w:t>镭射片材</w:t>
            </w:r>
            <w:r>
              <w:rPr>
                <w:rFonts w:ascii="微软雅黑" w:hAnsi="微软雅黑" w:cs="宋体"/>
                <w:b/>
                <w:color w:val="000000" w:themeColor="text1"/>
                <w:szCs w:val="21"/>
                <w:highlight w:val="none"/>
              </w:rPr>
              <w:t>印刷，卡片底色可以反射出绚丽的七色光彩，光线会随观察的角度不同而出现偏移</w:t>
            </w:r>
            <w:r>
              <w:rPr>
                <w:rFonts w:hint="eastAsia" w:ascii="微软雅黑" w:hAnsi="微软雅黑" w:cs="宋体"/>
                <w:b/>
                <w:color w:val="000000" w:themeColor="text1"/>
                <w:szCs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05" w:hRule="atLeast"/>
          <w:jc w:val="center"/>
        </w:trPr>
        <w:tc>
          <w:tcPr>
            <w:tcW w:w="1392" w:type="dxa"/>
            <w:tcBorders>
              <w:top w:val="single" w:color="000000" w:sz="4" w:space="0"/>
              <w:left w:val="single" w:color="000000" w:sz="4" w:space="0"/>
              <w:bottom w:val="single" w:color="000000" w:sz="4" w:space="0"/>
              <w:right w:val="single" w:color="000000" w:sz="4" w:space="0"/>
            </w:tcBorders>
            <w:shd w:val="clear" w:color="auto" w:fill="DBE5F1" w:themeFill="accent1" w:themeFillTint="33"/>
            <w:vAlign w:val="center"/>
          </w:tcPr>
          <w:p>
            <w:pPr>
              <w:shd w:val="clear" w:color="auto" w:fill="FFFFFF"/>
              <w:spacing w:line="315" w:lineRule="atLeast"/>
              <w:jc w:val="center"/>
              <w:rPr>
                <w:rFonts w:ascii="微软雅黑" w:hAnsi="微软雅黑" w:cs="宋体"/>
                <w:b/>
                <w:color w:val="000000" w:themeColor="text1"/>
                <w:szCs w:val="21"/>
                <w:highlight w:val="none"/>
              </w:rPr>
            </w:pPr>
            <w:r>
              <w:rPr>
                <w:rFonts w:hint="eastAsia" w:ascii="微软雅黑" w:hAnsi="微软雅黑" w:cs="宋体"/>
                <w:b/>
                <w:color w:val="000000" w:themeColor="text1"/>
                <w:szCs w:val="21"/>
                <w:highlight w:val="none"/>
              </w:rPr>
              <w:t>黑基镭射</w:t>
            </w:r>
          </w:p>
        </w:tc>
        <w:tc>
          <w:tcPr>
            <w:tcW w:w="5129" w:type="dxa"/>
            <w:tcBorders>
              <w:top w:val="single" w:color="000000" w:sz="4" w:space="0"/>
              <w:left w:val="single" w:color="000000" w:sz="4" w:space="0"/>
              <w:bottom w:val="single" w:color="000000" w:sz="4" w:space="0"/>
              <w:right w:val="single" w:color="000000" w:sz="4" w:space="0"/>
            </w:tcBorders>
            <w:shd w:val="clear" w:color="auto" w:fill="DBE5F1" w:themeFill="accent1" w:themeFillTint="33"/>
            <w:vAlign w:val="center"/>
          </w:tcPr>
          <w:p>
            <w:pPr>
              <w:shd w:val="clear" w:color="auto" w:fill="FFFFFF"/>
              <w:spacing w:line="315" w:lineRule="atLeast"/>
              <w:rPr>
                <w:rFonts w:ascii="微软雅黑" w:hAnsi="微软雅黑" w:cs="宋体"/>
                <w:b/>
                <w:color w:val="000000" w:themeColor="text1"/>
                <w:szCs w:val="21"/>
                <w:highlight w:val="none"/>
              </w:rPr>
            </w:pPr>
            <w:r>
              <w:rPr>
                <w:rFonts w:hint="eastAsia" w:ascii="微软雅黑" w:hAnsi="微软雅黑" w:cs="宋体"/>
                <w:b/>
                <w:color w:val="000000" w:themeColor="text1"/>
                <w:szCs w:val="21"/>
                <w:highlight w:val="none"/>
              </w:rPr>
              <w:t>采用黑色镭射片材印刷，融合了黑色PVC及镭射片材质感与神秘感，特显卡片的高贵与时尚。</w:t>
            </w:r>
          </w:p>
        </w:tc>
      </w:tr>
    </w:tbl>
    <w:p>
      <w:pPr>
        <w:shd w:val="clear" w:color="auto" w:fill="FFFFFF"/>
        <w:spacing w:line="315" w:lineRule="atLeast"/>
        <w:rPr>
          <w:rFonts w:ascii="微软雅黑" w:hAnsi="微软雅黑" w:cs="宋体"/>
          <w:b/>
          <w:color w:val="000000" w:themeColor="text1"/>
          <w:szCs w:val="21"/>
          <w:highlight w:val="none"/>
        </w:rPr>
      </w:pPr>
    </w:p>
    <w:p>
      <w:pPr>
        <w:rPr>
          <w:rFonts w:ascii="宋体" w:hAnsi="宋体"/>
          <w:bCs/>
          <w:color w:val="000000" w:themeColor="text1"/>
          <w:sz w:val="28"/>
          <w:szCs w:val="28"/>
          <w:highlight w:val="none"/>
        </w:rPr>
      </w:pPr>
    </w:p>
    <w:p>
      <w:pPr>
        <w:rPr>
          <w:rFonts w:ascii="宋体" w:hAnsi="宋体"/>
          <w:bCs/>
          <w:color w:val="000000" w:themeColor="text1"/>
          <w:sz w:val="28"/>
          <w:szCs w:val="28"/>
          <w:highlight w:val="none"/>
        </w:rPr>
      </w:pPr>
      <w:r>
        <w:rPr>
          <w:rFonts w:hint="eastAsia" w:ascii="宋体" w:hAnsi="宋体"/>
          <w:bCs/>
          <w:color w:val="000000" w:themeColor="text1"/>
          <w:sz w:val="28"/>
          <w:szCs w:val="28"/>
          <w:highlight w:val="none"/>
        </w:rPr>
        <w:t>三、本项目招标文件的预计采购量为估算值，不是招标人的实际采购量或承诺采购量，仅供供应商报价时参考，据此计算得出的总金额（即投标总报价）仅在评审时使用。实际采购数量以招标人的采购订单为准，采购价格按招标确定的中标单价计算，如合同执行期间新增卡种，根据制作工艺及芯片容量采用相关报价。</w:t>
      </w:r>
    </w:p>
    <w:p>
      <w:pPr>
        <w:rPr>
          <w:rFonts w:ascii="宋体" w:hAnsi="宋体"/>
          <w:bCs/>
          <w:color w:val="000000" w:themeColor="text1"/>
          <w:sz w:val="28"/>
          <w:szCs w:val="28"/>
          <w:highlight w:val="none"/>
        </w:rPr>
      </w:pPr>
    </w:p>
    <w:p>
      <w:pPr>
        <w:rPr>
          <w:rFonts w:ascii="宋体" w:hAnsi="宋体"/>
          <w:bCs/>
          <w:color w:val="000000" w:themeColor="text1"/>
          <w:sz w:val="28"/>
          <w:szCs w:val="28"/>
          <w:highlight w:val="none"/>
        </w:rPr>
      </w:pPr>
      <w:r>
        <w:rPr>
          <w:rFonts w:hint="eastAsia" w:ascii="宋体" w:hAnsi="宋体"/>
          <w:bCs/>
          <w:color w:val="000000" w:themeColor="text1"/>
          <w:sz w:val="28"/>
          <w:szCs w:val="28"/>
          <w:highlight w:val="none"/>
        </w:rPr>
        <w:t>四、特别说明：</w:t>
      </w:r>
    </w:p>
    <w:p>
      <w:pPr>
        <w:rPr>
          <w:rFonts w:ascii="宋体" w:hAnsi="宋体"/>
          <w:bCs/>
          <w:color w:val="000000" w:themeColor="text1"/>
          <w:sz w:val="28"/>
          <w:szCs w:val="28"/>
          <w:highlight w:val="none"/>
        </w:rPr>
      </w:pPr>
      <w:r>
        <w:rPr>
          <w:rFonts w:hint="eastAsia" w:ascii="宋体" w:hAnsi="宋体" w:eastAsia="宋体" w:cs="Times New Roman"/>
          <w:bCs/>
          <w:color w:val="000000" w:themeColor="text1"/>
          <w:sz w:val="24"/>
          <w:szCs w:val="28"/>
          <w:highlight w:val="none"/>
        </w:rPr>
        <w:t>本项目投标总报价=标准卡合计报价+私人银行IC卡工艺合计报价=标准卡各卡种产品单价*对应卡种的预计采购量的小计报价之和+私人银行IC卡各工艺单价的算术平均值*4（每一张卡最多累计4种工艺）*0.65万张的合计报价。</w:t>
      </w:r>
    </w:p>
    <w:p>
      <w:pPr>
        <w:shd w:val="clear" w:color="auto" w:fill="FFFFFF"/>
        <w:spacing w:line="315" w:lineRule="atLeast"/>
        <w:rPr>
          <w:rFonts w:ascii="微软雅黑" w:hAnsi="微软雅黑" w:cs="宋体"/>
          <w:b/>
          <w:color w:val="000000" w:themeColor="text1"/>
          <w:szCs w:val="21"/>
          <w:highlight w:val="none"/>
        </w:rPr>
      </w:pPr>
    </w:p>
    <w:p>
      <w:pPr>
        <w:keepNext/>
        <w:keepLines/>
        <w:spacing w:line="400" w:lineRule="exact"/>
        <w:jc w:val="center"/>
        <w:outlineLvl w:val="0"/>
        <w:rPr>
          <w:rFonts w:ascii="Times New Roman" w:hAnsi="Times New Roman" w:eastAsia="黑体" w:cs="Times New Roman"/>
          <w:b/>
          <w:bCs/>
          <w:color w:val="000000" w:themeColor="text1"/>
          <w:kern w:val="44"/>
          <w:sz w:val="28"/>
          <w:szCs w:val="28"/>
          <w:highlight w:val="none"/>
        </w:rPr>
      </w:pPr>
      <w:r>
        <w:rPr>
          <w:rFonts w:hint="eastAsia" w:ascii="Times New Roman" w:hAnsi="Times New Roman" w:eastAsia="黑体" w:cs="Times New Roman"/>
          <w:b/>
          <w:bCs/>
          <w:color w:val="000000" w:themeColor="text1"/>
          <w:kern w:val="44"/>
          <w:sz w:val="28"/>
          <w:szCs w:val="28"/>
          <w:highlight w:val="none"/>
        </w:rPr>
        <w:br w:type="page"/>
      </w:r>
    </w:p>
    <w:p>
      <w:pPr>
        <w:keepNext/>
        <w:keepLines/>
        <w:spacing w:line="400" w:lineRule="exact"/>
        <w:jc w:val="center"/>
        <w:outlineLvl w:val="0"/>
        <w:rPr>
          <w:rFonts w:ascii="Times New Roman" w:hAnsi="Times New Roman" w:eastAsia="黑体" w:cs="Times New Roman"/>
          <w:b/>
          <w:bCs/>
          <w:color w:val="000000" w:themeColor="text1"/>
          <w:kern w:val="44"/>
          <w:sz w:val="28"/>
          <w:szCs w:val="28"/>
          <w:highlight w:val="none"/>
        </w:rPr>
      </w:pPr>
      <w:r>
        <w:rPr>
          <w:rFonts w:hint="eastAsia" w:ascii="Times New Roman" w:hAnsi="Times New Roman" w:eastAsia="黑体" w:cs="Times New Roman"/>
          <w:b/>
          <w:bCs/>
          <w:color w:val="000000" w:themeColor="text1"/>
          <w:kern w:val="44"/>
          <w:sz w:val="28"/>
          <w:szCs w:val="28"/>
          <w:highlight w:val="none"/>
        </w:rPr>
        <w:t>第二节</w:t>
      </w:r>
      <w:bookmarkStart w:id="134" w:name="_Toc489972856"/>
      <w:r>
        <w:rPr>
          <w:rFonts w:ascii="Times New Roman" w:hAnsi="Times New Roman" w:eastAsia="黑体" w:cs="Times New Roman"/>
          <w:b/>
          <w:bCs/>
          <w:color w:val="000000" w:themeColor="text1"/>
          <w:kern w:val="44"/>
          <w:sz w:val="28"/>
          <w:szCs w:val="28"/>
          <w:highlight w:val="none"/>
        </w:rPr>
        <w:t>商务符合性要求</w:t>
      </w:r>
      <w:bookmarkEnd w:id="134"/>
    </w:p>
    <w:tbl>
      <w:tblPr>
        <w:tblStyle w:val="55"/>
        <w:tblW w:w="1006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92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jc w:val="center"/>
        </w:trPr>
        <w:tc>
          <w:tcPr>
            <w:tcW w:w="853" w:type="dxa"/>
            <w:shd w:val="clear" w:color="auto" w:fill="auto"/>
            <w:vAlign w:val="center"/>
          </w:tcPr>
          <w:p>
            <w:pPr>
              <w:tabs>
                <w:tab w:val="left" w:pos="1050"/>
                <w:tab w:val="left" w:pos="1470"/>
              </w:tabs>
              <w:rPr>
                <w:rFonts w:ascii="Times New Roman" w:hAnsi="Times New Roman" w:eastAsia="宋体" w:cs="Times New Roman"/>
                <w:snapToGrid w:val="0"/>
                <w:color w:val="000000" w:themeColor="text1"/>
                <w:spacing w:val="-20"/>
                <w:kern w:val="0"/>
                <w:szCs w:val="21"/>
                <w:highlight w:val="none"/>
              </w:rPr>
            </w:pPr>
            <w:r>
              <w:rPr>
                <w:rFonts w:ascii="Times New Roman" w:hAnsi="Times New Roman" w:eastAsia="宋体" w:cs="Times New Roman"/>
                <w:snapToGrid w:val="0"/>
                <w:color w:val="000000" w:themeColor="text1"/>
                <w:spacing w:val="-20"/>
                <w:kern w:val="0"/>
                <w:szCs w:val="21"/>
                <w:highlight w:val="none"/>
              </w:rPr>
              <w:t>条款号</w:t>
            </w:r>
          </w:p>
        </w:tc>
        <w:tc>
          <w:tcPr>
            <w:tcW w:w="9212" w:type="dxa"/>
            <w:shd w:val="clear" w:color="auto" w:fill="auto"/>
            <w:vAlign w:val="center"/>
          </w:tcPr>
          <w:p>
            <w:pPr>
              <w:tabs>
                <w:tab w:val="left" w:pos="1050"/>
                <w:tab w:val="left" w:pos="1470"/>
              </w:tabs>
              <w:jc w:val="cente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招标要求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jc w:val="center"/>
        </w:trPr>
        <w:tc>
          <w:tcPr>
            <w:tcW w:w="853" w:type="dxa"/>
            <w:shd w:val="clear" w:color="auto" w:fill="auto"/>
            <w:vAlign w:val="center"/>
          </w:tcPr>
          <w:p>
            <w:pPr>
              <w:tabs>
                <w:tab w:val="left" w:pos="1050"/>
                <w:tab w:val="left" w:pos="1470"/>
              </w:tabs>
              <w:jc w:val="center"/>
              <w:rPr>
                <w:rFonts w:ascii="Times New Roman" w:hAnsi="Times New Roman" w:eastAsia="宋体" w:cs="Times New Roman"/>
                <w:bCs/>
                <w:color w:val="000000" w:themeColor="text1"/>
                <w:szCs w:val="21"/>
                <w:highlight w:val="none"/>
              </w:rPr>
            </w:pPr>
            <w:r>
              <w:rPr>
                <w:rFonts w:ascii="Times New Roman" w:hAnsi="Times New Roman" w:eastAsia="宋体" w:cs="Times New Roman"/>
                <w:bCs/>
                <w:color w:val="000000" w:themeColor="text1"/>
                <w:szCs w:val="21"/>
                <w:highlight w:val="none"/>
              </w:rPr>
              <w:t>1</w:t>
            </w:r>
          </w:p>
        </w:tc>
        <w:tc>
          <w:tcPr>
            <w:tcW w:w="9212" w:type="dxa"/>
            <w:shd w:val="clear" w:color="auto" w:fill="auto"/>
          </w:tcPr>
          <w:p>
            <w:pPr>
              <w:tabs>
                <w:tab w:val="left" w:pos="1050"/>
                <w:tab w:val="left" w:pos="1470"/>
              </w:tabs>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货物规格型号及数量：</w:t>
            </w:r>
            <w:r>
              <w:rPr>
                <w:rFonts w:ascii="Times New Roman" w:hAnsi="Times New Roman" w:eastAsia="宋体" w:cs="Times New Roman"/>
                <w:color w:val="000000" w:themeColor="text1"/>
                <w:szCs w:val="21"/>
                <w:highlight w:val="none"/>
              </w:rPr>
              <w:t>详见</w:t>
            </w:r>
            <w:r>
              <w:rPr>
                <w:rFonts w:hint="eastAsia" w:ascii="Times New Roman" w:hAnsi="Times New Roman" w:eastAsia="宋体" w:cs="Times New Roman"/>
                <w:color w:val="000000" w:themeColor="text1"/>
                <w:szCs w:val="21"/>
                <w:highlight w:val="none"/>
              </w:rPr>
              <w:t>招标文件第二章《投标人须知前附表》</w:t>
            </w:r>
            <w:r>
              <w:rPr>
                <w:rFonts w:ascii="Times New Roman" w:hAnsi="Times New Roman" w:eastAsia="宋体" w:cs="Times New Roman"/>
                <w:color w:val="000000" w:themeColor="text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jc w:val="center"/>
        </w:trPr>
        <w:tc>
          <w:tcPr>
            <w:tcW w:w="853" w:type="dxa"/>
            <w:shd w:val="clear" w:color="auto" w:fill="auto"/>
            <w:vAlign w:val="center"/>
          </w:tcPr>
          <w:p>
            <w:pPr>
              <w:tabs>
                <w:tab w:val="left" w:pos="1050"/>
                <w:tab w:val="left" w:pos="1470"/>
              </w:tabs>
              <w:jc w:val="center"/>
              <w:rPr>
                <w:rFonts w:ascii="Times New Roman" w:hAnsi="Times New Roman" w:eastAsia="宋体" w:cs="Times New Roman"/>
                <w:bCs/>
                <w:color w:val="000000" w:themeColor="text1"/>
                <w:szCs w:val="21"/>
                <w:highlight w:val="none"/>
              </w:rPr>
            </w:pPr>
            <w:r>
              <w:rPr>
                <w:rFonts w:ascii="Times New Roman" w:hAnsi="Times New Roman" w:eastAsia="宋体" w:cs="Times New Roman"/>
                <w:bCs/>
                <w:color w:val="000000" w:themeColor="text1"/>
                <w:szCs w:val="21"/>
                <w:highlight w:val="none"/>
              </w:rPr>
              <w:t>2</w:t>
            </w:r>
          </w:p>
        </w:tc>
        <w:tc>
          <w:tcPr>
            <w:tcW w:w="9212" w:type="dxa"/>
            <w:shd w:val="clear" w:color="auto" w:fill="auto"/>
          </w:tcPr>
          <w:p>
            <w:pPr>
              <w:tabs>
                <w:tab w:val="left" w:pos="1050"/>
                <w:tab w:val="left" w:pos="1470"/>
              </w:tabs>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交货/安装地点：详见招标文件第二章《投标人须知前附表》。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jc w:val="center"/>
        </w:trPr>
        <w:tc>
          <w:tcPr>
            <w:tcW w:w="853" w:type="dxa"/>
            <w:shd w:val="clear" w:color="auto" w:fill="auto"/>
            <w:vAlign w:val="center"/>
          </w:tcPr>
          <w:p>
            <w:pPr>
              <w:tabs>
                <w:tab w:val="left" w:pos="1050"/>
                <w:tab w:val="left" w:pos="1470"/>
              </w:tabs>
              <w:jc w:val="cente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3</w:t>
            </w:r>
          </w:p>
        </w:tc>
        <w:tc>
          <w:tcPr>
            <w:tcW w:w="9212" w:type="dxa"/>
            <w:shd w:val="clear" w:color="auto" w:fill="auto"/>
          </w:tcPr>
          <w:p>
            <w:pPr>
              <w:tabs>
                <w:tab w:val="left" w:pos="1050"/>
                <w:tab w:val="left" w:pos="1470"/>
              </w:tabs>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供货时间：详见招标文件第二章《投标人须知前附表》。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jc w:val="center"/>
        </w:trPr>
        <w:tc>
          <w:tcPr>
            <w:tcW w:w="853" w:type="dxa"/>
            <w:shd w:val="clear" w:color="auto" w:fill="auto"/>
            <w:vAlign w:val="center"/>
          </w:tcPr>
          <w:p>
            <w:pPr>
              <w:tabs>
                <w:tab w:val="left" w:pos="1050"/>
                <w:tab w:val="left" w:pos="1470"/>
              </w:tabs>
              <w:jc w:val="cente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4</w:t>
            </w:r>
          </w:p>
        </w:tc>
        <w:tc>
          <w:tcPr>
            <w:tcW w:w="9212" w:type="dxa"/>
            <w:shd w:val="clear" w:color="auto" w:fill="auto"/>
          </w:tcPr>
          <w:p>
            <w:pPr>
              <w:tabs>
                <w:tab w:val="left" w:pos="1050"/>
                <w:tab w:val="left" w:pos="1470"/>
              </w:tabs>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售后服务要求：详见招标文件第一章《招标公告》。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jc w:val="center"/>
        </w:trPr>
        <w:tc>
          <w:tcPr>
            <w:tcW w:w="853" w:type="dxa"/>
            <w:shd w:val="clear" w:color="auto" w:fill="auto"/>
            <w:vAlign w:val="center"/>
          </w:tcPr>
          <w:p>
            <w:pPr>
              <w:tabs>
                <w:tab w:val="left" w:pos="1050"/>
                <w:tab w:val="left" w:pos="1470"/>
              </w:tabs>
              <w:jc w:val="cente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5</w:t>
            </w:r>
          </w:p>
        </w:tc>
        <w:tc>
          <w:tcPr>
            <w:tcW w:w="9212" w:type="dxa"/>
            <w:shd w:val="clear" w:color="auto" w:fill="auto"/>
            <w:vAlign w:val="center"/>
          </w:tcPr>
          <w:p>
            <w:pPr>
              <w:tabs>
                <w:tab w:val="left" w:pos="1050"/>
                <w:tab w:val="left" w:pos="1470"/>
              </w:tabs>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质量及验收要求</w:t>
            </w:r>
            <w:r>
              <w:rPr>
                <w:rFonts w:ascii="Times New Roman" w:hAnsi="Times New Roman" w:eastAsia="宋体" w:cs="Times New Roman"/>
                <w:color w:val="000000" w:themeColor="text1"/>
                <w:szCs w:val="21"/>
                <w:highlight w:val="none"/>
              </w:rPr>
              <w:t>：</w:t>
            </w:r>
            <w:r>
              <w:rPr>
                <w:rFonts w:hint="eastAsia" w:ascii="Times New Roman" w:hAnsi="Times New Roman" w:eastAsia="宋体" w:cs="Times New Roman"/>
                <w:color w:val="000000" w:themeColor="text1"/>
                <w:szCs w:val="21"/>
                <w:highlight w:val="none"/>
              </w:rPr>
              <w:t>详见招标文件第一章《招标公告》。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jc w:val="center"/>
        </w:trPr>
        <w:tc>
          <w:tcPr>
            <w:tcW w:w="853" w:type="dxa"/>
            <w:shd w:val="clear" w:color="auto" w:fill="auto"/>
            <w:vAlign w:val="center"/>
          </w:tcPr>
          <w:p>
            <w:pPr>
              <w:tabs>
                <w:tab w:val="left" w:pos="1050"/>
                <w:tab w:val="left" w:pos="1470"/>
              </w:tabs>
              <w:jc w:val="cente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6</w:t>
            </w:r>
          </w:p>
        </w:tc>
        <w:tc>
          <w:tcPr>
            <w:tcW w:w="9212" w:type="dxa"/>
            <w:shd w:val="clear" w:color="auto" w:fill="auto"/>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付款方式：以提供的借记卡类型和中标单价据实结算，经双方核对制卡量、单价无误后，供应商开具增值税专用发票，按实际采购量每半年结算一次。</w:t>
            </w:r>
          </w:p>
          <w:p>
            <w:pPr>
              <w:tabs>
                <w:tab w:val="left" w:pos="1050"/>
                <w:tab w:val="left" w:pos="1470"/>
              </w:tabs>
              <w:rPr>
                <w:rFonts w:ascii="Times New Roman" w:hAnsi="Times New Roman" w:eastAsia="宋体" w:cs="Times New Roman"/>
                <w:b/>
                <w:bCs/>
                <w:color w:val="000000" w:themeColor="text1"/>
                <w:szCs w:val="21"/>
                <w:highlight w:val="none"/>
              </w:rPr>
            </w:pPr>
            <w:r>
              <w:rPr>
                <w:rFonts w:ascii="Times New Roman" w:hAnsi="Times New Roman" w:eastAsia="宋体" w:cs="Times New Roman"/>
                <w:b/>
                <w:color w:val="000000" w:themeColor="text1"/>
                <w:szCs w:val="21"/>
                <w:highlight w:val="none"/>
              </w:rPr>
              <w:t>特别说明，</w:t>
            </w:r>
            <w:r>
              <w:rPr>
                <w:rFonts w:hint="eastAsia" w:ascii="Times New Roman" w:hAnsi="Times New Roman" w:eastAsia="宋体" w:cs="Times New Roman"/>
                <w:b/>
                <w:color w:val="000000" w:themeColor="text1"/>
                <w:szCs w:val="21"/>
                <w:highlight w:val="none"/>
              </w:rPr>
              <w:t>每次付款前供应商须提供相应金额的可全额抵扣的增值税专用发票。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jc w:val="center"/>
        </w:trPr>
        <w:tc>
          <w:tcPr>
            <w:tcW w:w="853" w:type="dxa"/>
            <w:shd w:val="clear" w:color="auto" w:fill="auto"/>
            <w:vAlign w:val="center"/>
          </w:tcPr>
          <w:p>
            <w:pPr>
              <w:tabs>
                <w:tab w:val="left" w:pos="1050"/>
                <w:tab w:val="left" w:pos="1470"/>
              </w:tabs>
              <w:jc w:val="cente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7</w:t>
            </w:r>
          </w:p>
        </w:tc>
        <w:tc>
          <w:tcPr>
            <w:tcW w:w="9212" w:type="dxa"/>
            <w:shd w:val="clear" w:color="auto" w:fill="auto"/>
          </w:tcPr>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1、履约担保金额：</w:t>
            </w:r>
            <w:r>
              <w:rPr>
                <w:rFonts w:hint="eastAsia" w:ascii="Times New Roman" w:hAnsi="Times New Roman" w:eastAsia="宋体" w:cs="Times New Roman"/>
                <w:color w:val="000000" w:themeColor="text1"/>
                <w:szCs w:val="21"/>
                <w:highlight w:val="none"/>
              </w:rPr>
              <w:t>中标单位投标总报价</w:t>
            </w:r>
            <w:r>
              <w:rPr>
                <w:rFonts w:hint="eastAsia"/>
                <w:color w:val="000000" w:themeColor="text1"/>
                <w:highlight w:val="none"/>
              </w:rPr>
              <w:t>的3%</w:t>
            </w:r>
            <w:r>
              <w:rPr>
                <w:rFonts w:ascii="Times New Roman" w:hAnsi="Times New Roman" w:eastAsia="宋体" w:cs="Times New Roman"/>
                <w:color w:val="000000" w:themeColor="text1"/>
                <w:szCs w:val="21"/>
                <w:highlight w:val="none"/>
              </w:rPr>
              <w:t>；</w:t>
            </w:r>
          </w:p>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2、履约担保方式：银行转账支票、银行汇票；</w:t>
            </w:r>
          </w:p>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3、履约担保提交时间</w:t>
            </w:r>
            <w:r>
              <w:rPr>
                <w:rFonts w:hint="eastAsia" w:ascii="Times New Roman" w:hAnsi="Times New Roman" w:eastAsia="宋体" w:cs="Times New Roman"/>
                <w:color w:val="000000" w:themeColor="text1"/>
                <w:szCs w:val="21"/>
                <w:highlight w:val="none"/>
              </w:rPr>
              <w:t>和账户</w:t>
            </w:r>
            <w:r>
              <w:rPr>
                <w:rFonts w:ascii="Times New Roman" w:hAnsi="Times New Roman" w:eastAsia="宋体" w:cs="Times New Roman"/>
                <w:color w:val="000000" w:themeColor="text1"/>
                <w:szCs w:val="21"/>
                <w:highlight w:val="none"/>
              </w:rPr>
              <w:t>：中标人须收到中标通知书后</w:t>
            </w:r>
            <w:r>
              <w:rPr>
                <w:rFonts w:ascii="Times New Roman" w:hAnsi="Times New Roman" w:eastAsia="宋体" w:cs="Times New Roman"/>
                <w:color w:val="000000" w:themeColor="text1"/>
                <w:szCs w:val="21"/>
                <w:highlight w:val="none"/>
                <w:u w:val="single"/>
              </w:rPr>
              <w:t>10</w:t>
            </w:r>
            <w:r>
              <w:rPr>
                <w:rFonts w:ascii="Times New Roman" w:hAnsi="Times New Roman" w:eastAsia="宋体" w:cs="Times New Roman"/>
                <w:color w:val="000000" w:themeColor="text1"/>
                <w:szCs w:val="21"/>
                <w:highlight w:val="none"/>
              </w:rPr>
              <w:t>日内提交</w:t>
            </w:r>
          </w:p>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w:t>
            </w:r>
            <w:r>
              <w:rPr>
                <w:rFonts w:hint="eastAsia" w:ascii="Times New Roman" w:hAnsi="Times New Roman" w:eastAsia="宋体" w:cs="Times New Roman"/>
                <w:color w:val="000000" w:themeColor="text1"/>
                <w:szCs w:val="21"/>
                <w:highlight w:val="none"/>
              </w:rPr>
              <w:t>户名：重庆银行股份有限公司   账号：020101040017909   开户行：重庆银行总行营业部</w:t>
            </w:r>
            <w:r>
              <w:rPr>
                <w:rFonts w:ascii="Times New Roman" w:hAnsi="Times New Roman" w:eastAsia="宋体" w:cs="Times New Roman"/>
                <w:color w:val="000000" w:themeColor="text1"/>
                <w:szCs w:val="21"/>
                <w:highlight w:val="none"/>
              </w:rPr>
              <w:t>）；</w:t>
            </w:r>
          </w:p>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4、履约保证金退还时间：自采购协议执行期满壹年后，无售后质量问题全额无息退还</w:t>
            </w:r>
            <w:r>
              <w:rPr>
                <w:rFonts w:hint="eastAsia" w:ascii="Times New Roman" w:hAnsi="Times New Roman" w:eastAsia="宋体" w:cs="Times New Roman"/>
                <w:color w:val="000000" w:themeColor="text1"/>
                <w:szCs w:val="21"/>
                <w:highlight w:val="none"/>
              </w:rPr>
              <w:t>；</w:t>
            </w:r>
            <w:r>
              <w:rPr>
                <w:rFonts w:ascii="Times New Roman" w:hAnsi="Times New Roman" w:eastAsia="宋体" w:cs="Times New Roman"/>
                <w:color w:val="000000" w:themeColor="text1"/>
                <w:szCs w:val="21"/>
                <w:highlight w:val="none"/>
              </w:rPr>
              <w:t>如有违约情况，</w:t>
            </w:r>
            <w:r>
              <w:rPr>
                <w:color w:val="000000" w:themeColor="text1"/>
                <w:szCs w:val="21"/>
                <w:highlight w:val="none"/>
              </w:rPr>
              <w:t>仅退还扣除违约金后的余额</w:t>
            </w:r>
            <w:r>
              <w:rPr>
                <w:rFonts w:ascii="Times New Roman" w:hAnsi="Times New Roman" w:eastAsia="宋体" w:cs="Times New Roman"/>
                <w:color w:val="000000" w:themeColor="text1"/>
                <w:szCs w:val="21"/>
                <w:highlight w:val="none"/>
              </w:rPr>
              <w:t>。</w:t>
            </w:r>
          </w:p>
          <w:p>
            <w:pPr>
              <w:rPr>
                <w:rFonts w:ascii="Times New Roman" w:hAnsi="Times New Roman" w:eastAsia="宋体" w:cs="Times New Roman"/>
                <w:color w:val="000000" w:themeColor="text1"/>
                <w:szCs w:val="21"/>
                <w:highlight w:val="none"/>
              </w:rPr>
            </w:pPr>
          </w:p>
          <w:p>
            <w:pPr>
              <w:rPr>
                <w:rFonts w:ascii="Times New Roman" w:hAnsi="Times New Roman" w:eastAsia="宋体" w:cs="Times New Roman"/>
                <w:b/>
                <w:bCs/>
                <w:color w:val="000000" w:themeColor="text1"/>
                <w:sz w:val="22"/>
                <w:highlight w:val="none"/>
              </w:rPr>
            </w:pPr>
            <w:r>
              <w:rPr>
                <w:rFonts w:hint="eastAsia" w:ascii="Times New Roman" w:hAnsi="Times New Roman" w:eastAsia="宋体" w:cs="Times New Roman"/>
                <w:b/>
                <w:bCs/>
                <w:color w:val="000000" w:themeColor="text1"/>
                <w:sz w:val="22"/>
                <w:highlight w:val="none"/>
              </w:rPr>
              <w:t>注：</w:t>
            </w:r>
          </w:p>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扣收履约保证金的适用情形：</w:t>
            </w:r>
          </w:p>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1、未达到技术指标要求的问题卡片比率超过0.1％（包含0.1％），乙方承诺除对问题卡片进行免费更换外，按照问题卡片价值的500%对甲方进行赔偿，赔偿金额从履约保证金扣除。如果乙方提供卡片的质量问题，造成甲方用户投诉等相关严重影响甲方信誉，甲方可以立即终止采购协议另行采购，并扣除乙方全部履约保证金。</w:t>
            </w:r>
          </w:p>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2、乙方需承诺保障客户信息的安全，当客户信息不安全或客户权利受到影响时，甲方有权随时终止外包协议。如违反本协议规定的安全保密要求及保密协议，给甲方以及甲方客户的信息安全造成不良后果或客户权利受到影响，乙方将赔偿甲方及客户的所有损失，包括但不限于甲方经济和声誉损失、甲方客户提出的经济赔偿等。甲方将扣除乙方全部履约保证金，保持追究乙方民事责任的权利，并因此解除本协议。如甲方因此受到第三方法律指控，甲方将拥有追索权，由此造成的甲方所有损失，乙方须向甲方全额赔偿</w:t>
            </w:r>
          </w:p>
          <w:p>
            <w:pP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3、乙方不能按照协议规定时间交货，应及时通知甲方。如未征得甲方同意，延期10-19日，乙方应按货款的10%向甲方支付违约金，如延期交货期超过20日及以上的，乙方应承担当次订单价格20%的违约金，发生3次以上甲方有权终止本采购协议。如果延期违约金不足以弥补给甲方造成的损失，还应进一步赔偿损失。违约金未超过履约保证金的先从履约保证金扣除。</w:t>
            </w:r>
          </w:p>
          <w:p>
            <w:pPr>
              <w:rPr>
                <w:rFonts w:ascii="Times New Roman" w:hAnsi="Times New Roman" w:eastAsia="宋体" w:cs="Times New Roman"/>
                <w:bCs/>
                <w:color w:val="000000" w:themeColor="text1"/>
                <w:szCs w:val="21"/>
                <w:highlight w:val="none"/>
              </w:rPr>
            </w:pPr>
            <w:r>
              <w:rPr>
                <w:rFonts w:ascii="Times New Roman" w:hAnsi="Times New Roman" w:eastAsia="宋体" w:cs="Times New Roman"/>
                <w:color w:val="000000" w:themeColor="text1"/>
                <w:szCs w:val="21"/>
                <w:highlight w:val="none"/>
              </w:rPr>
              <w:t>4、乙方不能通过交货验收或最终验收，应在10个工作日内整改或免费更换为合格产品，期间发生的费用（如检测费、维修费、退货费、保险费、运输费等）均由乙方承担。如更换或整改后，仍不能通过验收，则甲方有权拒绝接收货物，乙方应承担当次订单价格20%的违约金，从履约保证金扣除，同时采购协议终止。乙方在接到索赔通知后十日内，未做出任何书面答复，乙方将被视为接受索赔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jc w:val="center"/>
        </w:trPr>
        <w:tc>
          <w:tcPr>
            <w:tcW w:w="853" w:type="dxa"/>
            <w:shd w:val="clear" w:color="auto" w:fill="auto"/>
            <w:vAlign w:val="center"/>
          </w:tcPr>
          <w:p>
            <w:pPr>
              <w:tabs>
                <w:tab w:val="left" w:pos="1050"/>
                <w:tab w:val="left" w:pos="1470"/>
              </w:tabs>
              <w:jc w:val="cente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8</w:t>
            </w:r>
          </w:p>
        </w:tc>
        <w:tc>
          <w:tcPr>
            <w:tcW w:w="9212" w:type="dxa"/>
            <w:shd w:val="clear" w:color="auto" w:fill="auto"/>
          </w:tcPr>
          <w:p>
            <w:pP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供应商</w:t>
            </w:r>
            <w:r>
              <w:rPr>
                <w:rFonts w:ascii="Times New Roman" w:hAnsi="Times New Roman" w:eastAsia="宋体" w:cs="Times New Roman"/>
                <w:color w:val="000000" w:themeColor="text1"/>
                <w:szCs w:val="21"/>
                <w:highlight w:val="none"/>
              </w:rPr>
              <w:t>在批量生产前，需按照采购方要求制作样卡，应在10日内完成并交采购方确认，以后批量生产的银行卡不得低于样卡质量与标准。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jc w:val="center"/>
        </w:trPr>
        <w:tc>
          <w:tcPr>
            <w:tcW w:w="853" w:type="dxa"/>
            <w:shd w:val="clear" w:color="auto" w:fill="auto"/>
            <w:vAlign w:val="center"/>
          </w:tcPr>
          <w:p>
            <w:pPr>
              <w:tabs>
                <w:tab w:val="left" w:pos="1050"/>
                <w:tab w:val="left" w:pos="1470"/>
              </w:tabs>
              <w:jc w:val="cente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9</w:t>
            </w:r>
          </w:p>
        </w:tc>
        <w:tc>
          <w:tcPr>
            <w:tcW w:w="9212" w:type="dxa"/>
            <w:shd w:val="clear" w:color="auto" w:fill="auto"/>
          </w:tcPr>
          <w:p>
            <w:pP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如有新增卡种，根据制作工艺及芯片容量采用中标单位相关报价结算。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jc w:val="center"/>
        </w:trPr>
        <w:tc>
          <w:tcPr>
            <w:tcW w:w="853" w:type="dxa"/>
            <w:shd w:val="clear" w:color="auto" w:fill="auto"/>
            <w:vAlign w:val="center"/>
          </w:tcPr>
          <w:p>
            <w:pPr>
              <w:tabs>
                <w:tab w:val="left" w:pos="1050"/>
                <w:tab w:val="left" w:pos="1470"/>
              </w:tabs>
              <w:jc w:val="cente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10</w:t>
            </w:r>
          </w:p>
        </w:tc>
        <w:tc>
          <w:tcPr>
            <w:tcW w:w="9212" w:type="dxa"/>
            <w:shd w:val="clear" w:color="auto" w:fill="auto"/>
          </w:tcPr>
          <w:p>
            <w:pP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采购结果适用2年，合同为一年一签。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jc w:val="center"/>
        </w:trPr>
        <w:tc>
          <w:tcPr>
            <w:tcW w:w="853" w:type="dxa"/>
            <w:shd w:val="clear" w:color="auto" w:fill="auto"/>
            <w:vAlign w:val="center"/>
          </w:tcPr>
          <w:p>
            <w:pPr>
              <w:tabs>
                <w:tab w:val="left" w:pos="1050"/>
                <w:tab w:val="left" w:pos="1470"/>
              </w:tabs>
              <w:jc w:val="cente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11</w:t>
            </w:r>
          </w:p>
        </w:tc>
        <w:tc>
          <w:tcPr>
            <w:tcW w:w="9212" w:type="dxa"/>
            <w:shd w:val="clear" w:color="auto" w:fill="auto"/>
          </w:tcPr>
          <w:p>
            <w:pP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本项目招标文件的预计采购量为估算值，不是招标人的实际采购量或承诺采购量，仅供供应商报价时参考，据此计算得出的总金额（即投标总报价）仅在评审时使用。实际采购数量以招标人的采购订单为准，采购价格按招标确定的中标单价计算，如合同执行期间新增卡种，根据制作工艺及芯片容量采用相关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jc w:val="center"/>
        </w:trPr>
        <w:tc>
          <w:tcPr>
            <w:tcW w:w="853" w:type="dxa"/>
            <w:shd w:val="clear" w:color="auto" w:fill="auto"/>
            <w:vAlign w:val="center"/>
          </w:tcPr>
          <w:p>
            <w:pPr>
              <w:tabs>
                <w:tab w:val="left" w:pos="1050"/>
                <w:tab w:val="left" w:pos="1470"/>
              </w:tabs>
              <w:jc w:val="cente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12</w:t>
            </w:r>
          </w:p>
        </w:tc>
        <w:tc>
          <w:tcPr>
            <w:tcW w:w="9212" w:type="dxa"/>
            <w:shd w:val="clear" w:color="auto" w:fill="auto"/>
          </w:tcPr>
          <w:p>
            <w:pP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中标供应商应立即对投标产品进行相关测试，报送银行卡检测中心检测，所有检测费用由供应商承担。</w:t>
            </w:r>
          </w:p>
        </w:tc>
      </w:tr>
    </w:tbl>
    <w:p>
      <w:pPr>
        <w:keepNext/>
        <w:keepLines/>
        <w:spacing w:line="400" w:lineRule="exact"/>
        <w:jc w:val="left"/>
        <w:outlineLvl w:val="0"/>
        <w:rPr>
          <w:rFonts w:ascii="Times New Roman" w:hAnsi="Times New Roman" w:eastAsia="宋体" w:cs="Times New Roman"/>
          <w:color w:val="000000" w:themeColor="text1"/>
          <w:szCs w:val="21"/>
          <w:highlight w:val="none"/>
        </w:rPr>
      </w:pPr>
    </w:p>
    <w:p>
      <w:pPr>
        <w:keepNext/>
        <w:keepLines/>
        <w:spacing w:line="400" w:lineRule="exact"/>
        <w:jc w:val="left"/>
        <w:outlineLvl w:val="0"/>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注：请各投标人仔细阅读招标文件相关条款，投标人对招标文件要求进行响应后，招标人在后期合同签订和项目实施过程中将按照招标文件要求执行，不再做出调整。</w:t>
      </w:r>
    </w:p>
    <w:p>
      <w:pPr>
        <w:keepNext/>
        <w:keepLines/>
        <w:spacing w:line="360" w:lineRule="auto"/>
        <w:outlineLvl w:val="0"/>
        <w:rPr>
          <w:rFonts w:ascii="仿宋_GB2312" w:hAnsi="宋体" w:eastAsia="仿宋_GB2312"/>
          <w:b/>
          <w:bCs/>
          <w:color w:val="000000" w:themeColor="text1"/>
          <w:szCs w:val="28"/>
          <w:highlight w:val="none"/>
        </w:rPr>
      </w:pPr>
      <w:r>
        <w:rPr>
          <w:rFonts w:ascii="Times New Roman" w:hAnsi="Times New Roman" w:eastAsia="宋体" w:cs="Times New Roman"/>
          <w:color w:val="000000" w:themeColor="text1"/>
          <w:szCs w:val="21"/>
          <w:highlight w:val="none"/>
        </w:rPr>
        <w:br w:type="page"/>
      </w:r>
      <w:r>
        <w:rPr>
          <w:rFonts w:hint="eastAsia" w:ascii="Times New Roman" w:hAnsi="Times New Roman" w:eastAsia="黑体" w:cs="Times New Roman"/>
          <w:b/>
          <w:bCs/>
          <w:color w:val="000000" w:themeColor="text1"/>
          <w:kern w:val="44"/>
          <w:sz w:val="28"/>
          <w:szCs w:val="28"/>
          <w:highlight w:val="none"/>
        </w:rPr>
        <w:t xml:space="preserve">                      第三节  技术符合性要求</w:t>
      </w:r>
      <w:bookmarkStart w:id="135" w:name="_Toc319393007"/>
      <w:bookmarkStart w:id="136" w:name="_Toc306798294"/>
    </w:p>
    <w:p>
      <w:pPr>
        <w:pStyle w:val="2"/>
        <w:ind w:firstLine="883"/>
        <w:jc w:val="center"/>
        <w:rPr>
          <w:rFonts w:ascii="仿宋_GB2312" w:hAnsi="宋体" w:eastAsia="仿宋_GB2312"/>
          <w:color w:val="000000" w:themeColor="text1"/>
          <w:szCs w:val="28"/>
          <w:highlight w:val="none"/>
        </w:rPr>
      </w:pPr>
    </w:p>
    <w:p>
      <w:pPr>
        <w:pStyle w:val="2"/>
        <w:ind w:firstLine="883"/>
        <w:jc w:val="center"/>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金融IC卡产品技术规范</w:t>
      </w:r>
      <w:bookmarkEnd w:id="135"/>
      <w:bookmarkEnd w:id="136"/>
    </w:p>
    <w:p>
      <w:pPr>
        <w:spacing w:line="360" w:lineRule="auto"/>
        <w:ind w:firstLine="480"/>
        <w:rPr>
          <w:rFonts w:ascii="仿宋_GB2312" w:hAnsi="宋体" w:eastAsia="仿宋_GB2312"/>
          <w:color w:val="000000" w:themeColor="text1"/>
          <w:szCs w:val="28"/>
          <w:highlight w:val="none"/>
        </w:rPr>
      </w:pPr>
    </w:p>
    <w:p>
      <w:pPr>
        <w:spacing w:line="360" w:lineRule="auto"/>
        <w:ind w:firstLine="480"/>
        <w:rPr>
          <w:rFonts w:ascii="仿宋_GB2312" w:eastAsia="仿宋_GB2312"/>
          <w:color w:val="000000" w:themeColor="text1"/>
          <w:szCs w:val="28"/>
          <w:highlight w:val="none"/>
        </w:rPr>
      </w:pPr>
      <w:r>
        <w:rPr>
          <w:rFonts w:hint="eastAsia" w:ascii="仿宋_GB2312" w:eastAsia="仿宋_GB2312"/>
          <w:color w:val="000000" w:themeColor="text1"/>
          <w:szCs w:val="28"/>
          <w:highlight w:val="none"/>
        </w:rPr>
        <w:t>产品的规格和技术均符合国际标准ISO/IEC7810、7811国际标准、VISA及MasterCard国际组织信用卡及GB/T 19584-2004《银行卡磁条信息格式和使用规范》及中国银联制作标准、《中国金融集成电路IC卡规范》和行业及发卡行</w:t>
      </w:r>
      <w:bookmarkStart w:id="137" w:name="_Toc302634718"/>
      <w:r>
        <w:rPr>
          <w:rFonts w:hint="eastAsia" w:ascii="仿宋_GB2312" w:eastAsia="仿宋_GB2312"/>
          <w:color w:val="000000" w:themeColor="text1"/>
          <w:szCs w:val="28"/>
          <w:highlight w:val="none"/>
        </w:rPr>
        <w:t>其他标准、规范的要求和规定，符合借、贷记卡的卡面要求及安全规格,包括但不限于以下规范：</w:t>
      </w:r>
    </w:p>
    <w:p>
      <w:pPr>
        <w:spacing w:line="360" w:lineRule="auto"/>
        <w:rPr>
          <w:rFonts w:ascii="仿宋_GB2312" w:hAnsi="宋体" w:eastAsia="仿宋_GB2312"/>
          <w:b/>
          <w:color w:val="000000" w:themeColor="text1"/>
          <w:szCs w:val="28"/>
          <w:highlight w:val="none"/>
        </w:rPr>
      </w:pPr>
      <w:r>
        <w:rPr>
          <w:rFonts w:hint="eastAsia" w:ascii="仿宋_GB2312" w:eastAsia="仿宋_GB2312"/>
          <w:b/>
          <w:color w:val="000000" w:themeColor="text1"/>
          <w:szCs w:val="28"/>
          <w:highlight w:val="none"/>
        </w:rPr>
        <w:t>一、IC卡芯片技术要求</w:t>
      </w:r>
      <w:bookmarkEnd w:id="137"/>
    </w:p>
    <w:p>
      <w:pPr>
        <w:spacing w:line="360" w:lineRule="auto"/>
        <w:ind w:firstLine="315" w:firstLineChars="150"/>
        <w:rPr>
          <w:rFonts w:ascii="仿宋_GB2312" w:hAnsi="宋体" w:eastAsia="仿宋_GB2312"/>
          <w:color w:val="000000" w:themeColor="text1"/>
          <w:szCs w:val="28"/>
          <w:highlight w:val="none"/>
        </w:rPr>
      </w:pPr>
      <w:bookmarkStart w:id="138" w:name="_Toc222907388"/>
      <w:r>
        <w:rPr>
          <w:rFonts w:hint="eastAsia" w:ascii="仿宋_GB2312" w:hAnsi="宋体" w:eastAsia="仿宋_GB2312"/>
          <w:color w:val="000000" w:themeColor="text1"/>
          <w:szCs w:val="28"/>
          <w:highlight w:val="none"/>
        </w:rPr>
        <w:t>PBOC标准的双界面IC卡技术要求：</w:t>
      </w:r>
    </w:p>
    <w:p>
      <w:pPr>
        <w:adjustRightInd w:val="0"/>
        <w:spacing w:line="360" w:lineRule="auto"/>
        <w:ind w:left="210" w:leftChars="100" w:firstLine="105" w:firstLineChars="50"/>
        <w:textAlignment w:val="baseline"/>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1.容量：36K EEPROM以上芯片（含36K）、72K EEPROM以上芯片（含72K）</w:t>
      </w:r>
    </w:p>
    <w:p>
      <w:pPr>
        <w:adjustRightInd w:val="0"/>
        <w:spacing w:line="360" w:lineRule="auto"/>
        <w:ind w:firstLine="315" w:firstLineChars="150"/>
        <w:textAlignment w:val="baseline"/>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2.Java平台，符合</w:t>
      </w:r>
      <w:r>
        <w:rPr>
          <w:rFonts w:hint="eastAsia" w:ascii="仿宋_GB2312" w:hAnsi="宋体" w:eastAsia="仿宋_GB2312" w:cs="宋体"/>
          <w:color w:val="000000" w:themeColor="text1"/>
          <w:kern w:val="0"/>
          <w:szCs w:val="28"/>
          <w:highlight w:val="none"/>
        </w:rPr>
        <w:t>Global Platform 2.1.1</w:t>
      </w:r>
      <w:r>
        <w:rPr>
          <w:rFonts w:hint="eastAsia" w:ascii="仿宋_GB2312" w:hAnsi="宋体" w:eastAsia="仿宋_GB2312"/>
          <w:color w:val="000000" w:themeColor="text1"/>
          <w:szCs w:val="28"/>
          <w:highlight w:val="none"/>
        </w:rPr>
        <w:t>及JavaCard2.2.1规范</w:t>
      </w:r>
    </w:p>
    <w:p>
      <w:pPr>
        <w:adjustRightInd w:val="0"/>
        <w:spacing w:line="360" w:lineRule="auto"/>
        <w:ind w:firstLine="315" w:firstLineChars="150"/>
        <w:textAlignment w:val="baseline"/>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3.借记/贷记（含小额支付及电子现金）应用、非接支付应用支持PBOC2.0、3.0及银联公布的最新规范</w:t>
      </w:r>
    </w:p>
    <w:p>
      <w:pPr>
        <w:adjustRightInd w:val="0"/>
        <w:spacing w:line="360" w:lineRule="auto"/>
        <w:ind w:firstLine="315" w:firstLineChars="150"/>
        <w:textAlignment w:val="baseline"/>
        <w:rPr>
          <w:rFonts w:ascii="仿宋_GB2312" w:hAnsi="宋体" w:eastAsia="仿宋_GB2312"/>
          <w:color w:val="000000" w:themeColor="text1"/>
          <w:szCs w:val="28"/>
          <w:highlight w:val="none"/>
        </w:rPr>
      </w:pPr>
      <w:r>
        <w:rPr>
          <w:rFonts w:hint="eastAsia" w:ascii="仿宋_GB2312" w:hAnsi="宋体" w:eastAsia="仿宋_GB2312" w:cs="宋体"/>
          <w:color w:val="000000" w:themeColor="text1"/>
          <w:kern w:val="0"/>
          <w:szCs w:val="28"/>
          <w:highlight w:val="none"/>
        </w:rPr>
        <w:t>4.支持SDA、DDA、CDA验证方法，以及其他PBOC安全规范中要求的加解密功能，包括脱机PIN验证，发卡行认证，脚本处理</w:t>
      </w:r>
    </w:p>
    <w:p>
      <w:pPr>
        <w:adjustRightInd w:val="0"/>
        <w:spacing w:line="360" w:lineRule="auto"/>
        <w:ind w:firstLine="315" w:firstLineChars="150"/>
        <w:textAlignment w:val="baseline"/>
        <w:rPr>
          <w:rFonts w:ascii="仿宋_GB2312" w:hAnsi="宋体" w:eastAsia="仿宋_GB2312"/>
          <w:color w:val="000000" w:themeColor="text1"/>
          <w:szCs w:val="28"/>
          <w:highlight w:val="none"/>
        </w:rPr>
      </w:pPr>
      <w:r>
        <w:rPr>
          <w:rFonts w:hint="eastAsia" w:ascii="仿宋_GB2312" w:hAnsi="宋体" w:eastAsia="仿宋_GB2312" w:cs="宋体"/>
          <w:color w:val="000000" w:themeColor="text1"/>
          <w:kern w:val="0"/>
          <w:szCs w:val="28"/>
          <w:highlight w:val="none"/>
        </w:rPr>
        <w:t>5.接触式界面符合ISO7816标准，非接触界面符合ISO14443标准</w:t>
      </w:r>
    </w:p>
    <w:p>
      <w:pPr>
        <w:adjustRightInd w:val="0"/>
        <w:spacing w:line="360" w:lineRule="auto"/>
        <w:ind w:firstLine="315" w:firstLineChars="150"/>
        <w:textAlignment w:val="baseline"/>
        <w:rPr>
          <w:rFonts w:ascii="仿宋_GB2312" w:hAnsi="宋体" w:eastAsia="仿宋_GB2312"/>
          <w:color w:val="000000" w:themeColor="text1"/>
          <w:szCs w:val="28"/>
          <w:highlight w:val="none"/>
        </w:rPr>
      </w:pPr>
      <w:r>
        <w:rPr>
          <w:rFonts w:hint="eastAsia" w:ascii="仿宋_GB2312" w:hAnsi="宋体" w:eastAsia="仿宋_GB2312" w:cs="宋体"/>
          <w:color w:val="000000" w:themeColor="text1"/>
          <w:kern w:val="0"/>
          <w:szCs w:val="28"/>
          <w:highlight w:val="none"/>
        </w:rPr>
        <w:t>6.芯片协处理器提供硬件加密算法和硬件随机数发生器，支持对称体系的DES、3DES算法，非对称体系的RSA算法；</w:t>
      </w:r>
      <w:r>
        <w:rPr>
          <w:rFonts w:hint="eastAsia" w:ascii="仿宋_GB2312" w:eastAsia="仿宋_GB2312"/>
          <w:color w:val="000000" w:themeColor="text1"/>
          <w:szCs w:val="28"/>
          <w:highlight w:val="none"/>
        </w:rPr>
        <w:t>支持国密SM2、 SM3、 SM4等系列算法应用。</w:t>
      </w:r>
    </w:p>
    <w:p>
      <w:pPr>
        <w:adjustRightInd w:val="0"/>
        <w:spacing w:line="360" w:lineRule="auto"/>
        <w:ind w:firstLine="315" w:firstLineChars="150"/>
        <w:textAlignment w:val="baseline"/>
        <w:rPr>
          <w:rFonts w:ascii="仿宋_GB2312" w:hAnsi="宋体" w:eastAsia="仿宋_GB2312"/>
          <w:color w:val="000000" w:themeColor="text1"/>
          <w:szCs w:val="28"/>
          <w:highlight w:val="none"/>
        </w:rPr>
      </w:pPr>
      <w:r>
        <w:rPr>
          <w:rFonts w:hint="eastAsia" w:ascii="仿宋_GB2312" w:hAnsi="宋体" w:eastAsia="仿宋_GB2312" w:cs="宋体"/>
          <w:color w:val="000000" w:themeColor="text1"/>
          <w:kern w:val="0"/>
          <w:szCs w:val="28"/>
          <w:highlight w:val="none"/>
        </w:rPr>
        <w:t>7.卡片支持非对称密钥长度：512位～1984位且长度可变</w:t>
      </w:r>
    </w:p>
    <w:p>
      <w:pPr>
        <w:adjustRightInd w:val="0"/>
        <w:spacing w:line="360" w:lineRule="auto"/>
        <w:ind w:firstLine="315" w:firstLineChars="150"/>
        <w:textAlignment w:val="baseline"/>
        <w:rPr>
          <w:rFonts w:ascii="仿宋_GB2312" w:hAnsi="宋体" w:eastAsia="仿宋_GB2312"/>
          <w:color w:val="000000" w:themeColor="text1"/>
          <w:szCs w:val="28"/>
          <w:highlight w:val="none"/>
        </w:rPr>
      </w:pPr>
      <w:r>
        <w:rPr>
          <w:rFonts w:hint="eastAsia" w:ascii="仿宋_GB2312" w:hAnsi="宋体" w:eastAsia="仿宋_GB2312" w:cs="宋体"/>
          <w:color w:val="000000" w:themeColor="text1"/>
          <w:kern w:val="0"/>
          <w:szCs w:val="28"/>
          <w:highlight w:val="none"/>
        </w:rPr>
        <w:t>8.卡片支持多应用，可以在卡片中加载PBOC应用外的其他金融或者非金融行业应用。新应用的加载可以在制卡时完成，也可以在发卡后通过脚本完成。</w:t>
      </w:r>
    </w:p>
    <w:p>
      <w:pPr>
        <w:adjustRightInd w:val="0"/>
        <w:spacing w:line="360" w:lineRule="auto"/>
        <w:ind w:firstLine="315" w:firstLineChars="150"/>
        <w:textAlignment w:val="baseline"/>
        <w:rPr>
          <w:rFonts w:ascii="仿宋_GB2312" w:hAnsi="宋体" w:eastAsia="仿宋_GB2312" w:cs="宋体"/>
          <w:color w:val="000000" w:themeColor="text1"/>
          <w:kern w:val="0"/>
          <w:szCs w:val="28"/>
          <w:highlight w:val="none"/>
        </w:rPr>
      </w:pPr>
      <w:r>
        <w:rPr>
          <w:rFonts w:hint="eastAsia" w:ascii="仿宋_GB2312" w:hAnsi="宋体" w:eastAsia="仿宋_GB2312" w:cs="宋体"/>
          <w:color w:val="000000" w:themeColor="text1"/>
          <w:kern w:val="0"/>
          <w:szCs w:val="28"/>
          <w:highlight w:val="none"/>
        </w:rPr>
        <w:t>9.数据保存年限不少于10年</w:t>
      </w:r>
      <w:r>
        <w:rPr>
          <w:rFonts w:hint="eastAsia" w:ascii="仿宋_GB2312" w:hAnsi="宋体" w:eastAsia="仿宋_GB2312"/>
          <w:color w:val="000000" w:themeColor="text1"/>
          <w:szCs w:val="28"/>
          <w:highlight w:val="none"/>
        </w:rPr>
        <w:t>,</w:t>
      </w:r>
      <w:r>
        <w:rPr>
          <w:rFonts w:hint="eastAsia" w:ascii="仿宋_GB2312" w:hAnsi="宋体" w:eastAsia="仿宋_GB2312" w:cs="宋体"/>
          <w:color w:val="000000" w:themeColor="text1"/>
          <w:kern w:val="0"/>
          <w:szCs w:val="28"/>
          <w:highlight w:val="none"/>
        </w:rPr>
        <w:t>数据擦写次数不少于10万次</w:t>
      </w:r>
    </w:p>
    <w:p>
      <w:pPr>
        <w:ind w:firstLine="315" w:firstLineChars="150"/>
        <w:rPr>
          <w:rFonts w:ascii="仿宋_GB2312" w:hAnsi="宋体" w:eastAsia="仿宋_GB2312" w:cs="宋体"/>
          <w:color w:val="000000" w:themeColor="text1"/>
          <w:kern w:val="0"/>
          <w:szCs w:val="28"/>
          <w:highlight w:val="none"/>
        </w:rPr>
      </w:pPr>
      <w:r>
        <w:rPr>
          <w:rFonts w:hint="eastAsia" w:ascii="仿宋_GB2312" w:hAnsi="宋体" w:eastAsia="仿宋_GB2312" w:cs="宋体"/>
          <w:color w:val="000000" w:themeColor="text1"/>
          <w:kern w:val="0"/>
          <w:szCs w:val="28"/>
          <w:highlight w:val="none"/>
        </w:rPr>
        <w:t>10.进口芯片需通过CCEAL6+或以上安全认证，国产芯片需通过EAL4+或以上安全认证；</w:t>
      </w:r>
    </w:p>
    <w:p>
      <w:pPr>
        <w:adjustRightInd w:val="0"/>
        <w:spacing w:line="360" w:lineRule="auto"/>
        <w:ind w:firstLine="315" w:firstLineChars="150"/>
        <w:textAlignment w:val="baseline"/>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11.通过银行卡检测中心“PBOC3.0借记/贷记（支持小额支付）IC卡”检测；</w:t>
      </w:r>
    </w:p>
    <w:p>
      <w:pPr>
        <w:adjustRightInd w:val="0"/>
        <w:spacing w:line="360" w:lineRule="auto"/>
        <w:ind w:firstLine="315" w:firstLineChars="150"/>
        <w:textAlignment w:val="baseline"/>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12.通过银行卡检测中心“PBOC3.0非接触式QPBOC双币小额IC卡”检测；</w:t>
      </w:r>
    </w:p>
    <w:p>
      <w:pPr>
        <w:adjustRightInd w:val="0"/>
        <w:spacing w:line="360" w:lineRule="auto"/>
        <w:ind w:firstLine="315" w:firstLineChars="150"/>
        <w:textAlignment w:val="baseline"/>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13.通过银行卡检测中心“PBOC3.0基于非接触小额支付的扩展应用卡”检测；</w:t>
      </w:r>
    </w:p>
    <w:p>
      <w:pPr>
        <w:adjustRightInd w:val="0"/>
        <w:spacing w:line="360" w:lineRule="auto"/>
        <w:ind w:firstLine="315" w:firstLineChars="150"/>
        <w:textAlignment w:val="baseline"/>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14.国产芯片具有国家商用密码管理局芯片安全（二级）认证资质；</w:t>
      </w:r>
    </w:p>
    <w:p>
      <w:pPr>
        <w:adjustRightInd w:val="0"/>
        <w:spacing w:line="360" w:lineRule="auto"/>
        <w:ind w:firstLine="315" w:firstLineChars="150"/>
        <w:textAlignment w:val="baseline"/>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15.具有银联卡芯片产品安全认证证书；</w:t>
      </w:r>
    </w:p>
    <w:p>
      <w:pPr>
        <w:adjustRightInd w:val="0"/>
        <w:spacing w:line="360" w:lineRule="auto"/>
        <w:ind w:firstLine="315" w:firstLineChars="150"/>
        <w:textAlignment w:val="baseline"/>
        <w:rPr>
          <w:rFonts w:ascii="仿宋_GB2312" w:hAnsi="宋体" w:eastAsia="仿宋_GB2312"/>
          <w:b/>
          <w:color w:val="000000" w:themeColor="text1"/>
          <w:szCs w:val="28"/>
          <w:highlight w:val="none"/>
        </w:rPr>
      </w:pPr>
      <w:r>
        <w:rPr>
          <w:rFonts w:hint="eastAsia" w:ascii="仿宋_GB2312" w:hAnsi="宋体" w:eastAsia="仿宋_GB2312"/>
          <w:color w:val="000000" w:themeColor="text1"/>
          <w:szCs w:val="28"/>
          <w:highlight w:val="none"/>
        </w:rPr>
        <w:t>16.带</w:t>
      </w:r>
      <w:r>
        <w:rPr>
          <w:rFonts w:hint="eastAsia" w:ascii="仿宋_GB2312" w:hAnsi="宋体" w:eastAsia="仿宋_GB2312" w:cs="Arial"/>
          <w:color w:val="000000" w:themeColor="text1"/>
          <w:szCs w:val="28"/>
          <w:highlight w:val="none"/>
        </w:rPr>
        <w:t>Mifare1</w:t>
      </w:r>
      <w:r>
        <w:rPr>
          <w:rFonts w:hint="eastAsia" w:ascii="仿宋_GB2312" w:hAnsi="宋体" w:eastAsia="仿宋_GB2312"/>
          <w:color w:val="000000" w:themeColor="text1"/>
          <w:szCs w:val="28"/>
          <w:highlight w:val="none"/>
        </w:rPr>
        <w:t>卡功能；</w:t>
      </w:r>
      <w:r>
        <w:rPr>
          <w:rFonts w:hint="eastAsia" w:ascii="仿宋_GB2312" w:hAnsi="宋体" w:eastAsia="仿宋_GB2312"/>
          <w:b/>
          <w:color w:val="000000" w:themeColor="text1"/>
          <w:szCs w:val="28"/>
          <w:highlight w:val="none"/>
        </w:rPr>
        <w:t xml:space="preserve"> </w:t>
      </w:r>
    </w:p>
    <w:p>
      <w:pPr>
        <w:adjustRightInd w:val="0"/>
        <w:spacing w:line="360" w:lineRule="auto"/>
        <w:ind w:firstLine="315" w:firstLineChars="150"/>
        <w:textAlignment w:val="baseline"/>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17.支持二次个人化；能够二次个人化电子钱包或其它应用；</w:t>
      </w:r>
    </w:p>
    <w:p>
      <w:pPr>
        <w:adjustRightInd w:val="0"/>
        <w:spacing w:line="360" w:lineRule="auto"/>
        <w:ind w:firstLine="315" w:firstLineChars="150"/>
        <w:textAlignment w:val="baseline"/>
        <w:rPr>
          <w:rFonts w:ascii="仿宋_GB2312" w:eastAsia="仿宋_GB2312"/>
          <w:color w:val="000000" w:themeColor="text1"/>
          <w:szCs w:val="28"/>
          <w:highlight w:val="none"/>
        </w:rPr>
      </w:pPr>
      <w:r>
        <w:rPr>
          <w:rFonts w:hint="eastAsia" w:ascii="仿宋_GB2312" w:eastAsia="仿宋_GB2312"/>
          <w:color w:val="000000" w:themeColor="text1"/>
          <w:szCs w:val="28"/>
          <w:highlight w:val="none"/>
        </w:rPr>
        <w:t>18.芯片和嵌入式软件必须通过银联安全认证和检测</w:t>
      </w:r>
      <w:bookmarkStart w:id="139" w:name="_Toc302634719"/>
      <w:r>
        <w:rPr>
          <w:rFonts w:hint="eastAsia" w:ascii="仿宋_GB2312" w:eastAsia="仿宋_GB2312"/>
          <w:color w:val="000000" w:themeColor="text1"/>
          <w:szCs w:val="28"/>
          <w:highlight w:val="none"/>
        </w:rPr>
        <w:t>；</w:t>
      </w:r>
    </w:p>
    <w:p>
      <w:pPr>
        <w:adjustRightInd w:val="0"/>
        <w:spacing w:line="360" w:lineRule="auto"/>
        <w:ind w:firstLine="315" w:firstLineChars="150"/>
        <w:textAlignment w:val="baseline"/>
        <w:rPr>
          <w:rFonts w:ascii="仿宋_GB2312" w:eastAsia="仿宋_GB2312"/>
          <w:color w:val="000000" w:themeColor="text1"/>
          <w:szCs w:val="28"/>
          <w:highlight w:val="none"/>
        </w:rPr>
      </w:pPr>
      <w:r>
        <w:rPr>
          <w:rFonts w:hint="eastAsia" w:ascii="仿宋_GB2312" w:eastAsia="仿宋_GB2312"/>
          <w:color w:val="000000" w:themeColor="text1"/>
          <w:szCs w:val="28"/>
          <w:highlight w:val="none"/>
        </w:rPr>
        <w:t>19、国产芯片支持国密SM2、 SM3、 SM4等系列算法应用。</w:t>
      </w:r>
    </w:p>
    <w:p>
      <w:pPr>
        <w:spacing w:line="360" w:lineRule="auto"/>
        <w:rPr>
          <w:rFonts w:ascii="仿宋_GB2312" w:eastAsia="仿宋_GB2312"/>
          <w:b/>
          <w:color w:val="000000" w:themeColor="text1"/>
          <w:szCs w:val="28"/>
          <w:highlight w:val="none"/>
        </w:rPr>
      </w:pPr>
      <w:r>
        <w:rPr>
          <w:rFonts w:hint="eastAsia" w:ascii="仿宋_GB2312" w:eastAsia="仿宋_GB2312"/>
          <w:b/>
          <w:color w:val="000000" w:themeColor="text1"/>
          <w:szCs w:val="28"/>
          <w:highlight w:val="none"/>
        </w:rPr>
        <w:t>二、操作系统要求</w:t>
      </w:r>
    </w:p>
    <w:p>
      <w:pPr>
        <w:adjustRightInd w:val="0"/>
        <w:spacing w:line="360" w:lineRule="auto"/>
        <w:ind w:firstLine="315" w:firstLineChars="150"/>
        <w:textAlignment w:val="baseline"/>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1. 操作系统自主开发且具有兼容性，兼容支持所报送多应用；</w:t>
      </w:r>
    </w:p>
    <w:p>
      <w:pPr>
        <w:tabs>
          <w:tab w:val="left" w:pos="851"/>
        </w:tabs>
        <w:adjustRightInd w:val="0"/>
        <w:spacing w:line="360" w:lineRule="auto"/>
        <w:ind w:firstLine="315" w:firstLineChars="150"/>
        <w:textAlignment w:val="baseline"/>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2. 通过</w:t>
      </w:r>
      <w:r>
        <w:rPr>
          <w:rFonts w:ascii="仿宋_GB2312" w:hAnsi="宋体" w:eastAsia="仿宋_GB2312"/>
          <w:color w:val="000000" w:themeColor="text1"/>
          <w:szCs w:val="28"/>
          <w:highlight w:val="none"/>
        </w:rPr>
        <w:t>银联芯片卡嵌入式软件安全测试</w:t>
      </w:r>
      <w:r>
        <w:rPr>
          <w:rFonts w:hint="eastAsia" w:ascii="仿宋_GB2312" w:hAnsi="宋体" w:eastAsia="仿宋_GB2312"/>
          <w:color w:val="000000" w:themeColor="text1"/>
          <w:szCs w:val="28"/>
          <w:highlight w:val="none"/>
        </w:rPr>
        <w:t>；</w:t>
      </w:r>
    </w:p>
    <w:p>
      <w:pPr>
        <w:spacing w:line="360" w:lineRule="auto"/>
        <w:ind w:firstLine="315" w:firstLineChars="150"/>
        <w:outlineLvl w:val="2"/>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3．</w:t>
      </w:r>
      <w:bookmarkStart w:id="140" w:name="_Toc449368152"/>
      <w:bookmarkStart w:id="141" w:name="_Toc452457101"/>
      <w:r>
        <w:rPr>
          <w:rFonts w:hint="eastAsia" w:ascii="仿宋_GB2312" w:hAnsi="宋体" w:eastAsia="仿宋_GB2312"/>
          <w:color w:val="000000" w:themeColor="text1"/>
          <w:szCs w:val="28"/>
          <w:highlight w:val="none"/>
        </w:rPr>
        <w:t>提供</w:t>
      </w:r>
      <w:r>
        <w:rPr>
          <w:rFonts w:ascii="仿宋_GB2312" w:hAnsi="宋体" w:eastAsia="仿宋_GB2312"/>
          <w:color w:val="000000" w:themeColor="text1"/>
          <w:szCs w:val="28"/>
          <w:highlight w:val="none"/>
        </w:rPr>
        <w:t>Java技术授权合同</w:t>
      </w:r>
      <w:bookmarkEnd w:id="140"/>
      <w:bookmarkEnd w:id="141"/>
      <w:r>
        <w:rPr>
          <w:rFonts w:hint="eastAsia" w:ascii="仿宋_GB2312" w:hAnsi="宋体" w:eastAsia="仿宋_GB2312"/>
          <w:color w:val="000000" w:themeColor="text1"/>
          <w:szCs w:val="28"/>
          <w:highlight w:val="none"/>
        </w:rPr>
        <w:t>；</w:t>
      </w:r>
    </w:p>
    <w:p>
      <w:pPr>
        <w:adjustRightInd w:val="0"/>
        <w:spacing w:line="360" w:lineRule="auto"/>
        <w:ind w:firstLine="315" w:firstLineChars="150"/>
        <w:textAlignment w:val="baseline"/>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4.</w:t>
      </w:r>
      <w:bookmarkStart w:id="142" w:name="_Toc452457102"/>
      <w:r>
        <w:rPr>
          <w:rFonts w:ascii="仿宋_GB2312" w:hAnsi="宋体" w:eastAsia="仿宋_GB2312"/>
          <w:color w:val="000000" w:themeColor="text1"/>
          <w:szCs w:val="28"/>
          <w:highlight w:val="none"/>
        </w:rPr>
        <w:t xml:space="preserve"> </w:t>
      </w:r>
      <w:r>
        <w:rPr>
          <w:rFonts w:hint="eastAsia" w:ascii="仿宋_GB2312" w:hAnsi="宋体" w:eastAsia="仿宋_GB2312"/>
          <w:color w:val="000000" w:themeColor="text1"/>
          <w:szCs w:val="28"/>
          <w:highlight w:val="none"/>
        </w:rPr>
        <w:t>提供</w:t>
      </w:r>
      <w:r>
        <w:rPr>
          <w:rFonts w:ascii="仿宋_GB2312" w:hAnsi="宋体" w:eastAsia="仿宋_GB2312"/>
          <w:color w:val="000000" w:themeColor="text1"/>
          <w:szCs w:val="28"/>
          <w:highlight w:val="none"/>
        </w:rPr>
        <w:t>Java Card技术支持合同</w:t>
      </w:r>
      <w:bookmarkEnd w:id="142"/>
      <w:r>
        <w:rPr>
          <w:rFonts w:hint="eastAsia" w:ascii="仿宋_GB2312" w:hAnsi="宋体" w:eastAsia="仿宋_GB2312"/>
          <w:color w:val="000000" w:themeColor="text1"/>
          <w:szCs w:val="28"/>
          <w:highlight w:val="none"/>
        </w:rPr>
        <w:t>；</w:t>
      </w:r>
    </w:p>
    <w:p>
      <w:pPr>
        <w:adjustRightInd w:val="0"/>
        <w:spacing w:line="360" w:lineRule="auto"/>
        <w:ind w:firstLine="315" w:firstLineChars="150"/>
        <w:textAlignment w:val="baseline"/>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5.</w:t>
      </w:r>
      <w:bookmarkStart w:id="143" w:name="_Toc452457103"/>
      <w:r>
        <w:rPr>
          <w:rFonts w:ascii="仿宋_GB2312" w:hAnsi="宋体" w:eastAsia="仿宋_GB2312"/>
          <w:color w:val="000000" w:themeColor="text1"/>
          <w:szCs w:val="28"/>
          <w:highlight w:val="none"/>
        </w:rPr>
        <w:t xml:space="preserve"> </w:t>
      </w:r>
      <w:r>
        <w:rPr>
          <w:rFonts w:hint="eastAsia" w:ascii="仿宋_GB2312" w:hAnsi="宋体" w:eastAsia="仿宋_GB2312"/>
          <w:color w:val="000000" w:themeColor="text1"/>
          <w:szCs w:val="28"/>
          <w:highlight w:val="none"/>
        </w:rPr>
        <w:t>提供</w:t>
      </w:r>
      <w:r>
        <w:rPr>
          <w:rFonts w:ascii="仿宋_GB2312" w:hAnsi="宋体" w:eastAsia="仿宋_GB2312"/>
          <w:color w:val="000000" w:themeColor="text1"/>
          <w:szCs w:val="28"/>
          <w:highlight w:val="none"/>
        </w:rPr>
        <w:t>Java Logo的使用授权</w:t>
      </w:r>
      <w:bookmarkEnd w:id="143"/>
      <w:r>
        <w:rPr>
          <w:rFonts w:hint="eastAsia" w:ascii="仿宋_GB2312" w:hAnsi="宋体" w:eastAsia="仿宋_GB2312"/>
          <w:color w:val="000000" w:themeColor="text1"/>
          <w:szCs w:val="28"/>
          <w:highlight w:val="none"/>
        </w:rPr>
        <w:t>；</w:t>
      </w:r>
    </w:p>
    <w:p>
      <w:pPr>
        <w:adjustRightInd w:val="0"/>
        <w:spacing w:line="360" w:lineRule="auto"/>
        <w:ind w:firstLine="315" w:firstLineChars="150"/>
        <w:textAlignment w:val="baseline"/>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6、通过操作系统GP组织认证。</w:t>
      </w:r>
    </w:p>
    <w:p>
      <w:pPr>
        <w:adjustRightInd w:val="0"/>
        <w:spacing w:line="360" w:lineRule="auto"/>
        <w:textAlignment w:val="baseline"/>
        <w:rPr>
          <w:rFonts w:ascii="仿宋_GB2312" w:hAnsi="宋体" w:eastAsia="仿宋_GB2312"/>
          <w:b/>
          <w:color w:val="000000" w:themeColor="text1"/>
          <w:szCs w:val="28"/>
          <w:highlight w:val="none"/>
        </w:rPr>
      </w:pPr>
      <w:r>
        <w:rPr>
          <w:rFonts w:hint="eastAsia" w:ascii="仿宋_GB2312" w:eastAsia="仿宋_GB2312"/>
          <w:b/>
          <w:color w:val="000000" w:themeColor="text1"/>
          <w:highlight w:val="none"/>
        </w:rPr>
        <w:t>三、卡体技术指标要求</w:t>
      </w:r>
      <w:bookmarkEnd w:id="138"/>
      <w:bookmarkEnd w:id="139"/>
    </w:p>
    <w:p>
      <w:pPr>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1．卡基材质均要求采用优质PVC材料。</w:t>
      </w:r>
    </w:p>
    <w:p>
      <w:pPr>
        <w:spacing w:line="360" w:lineRule="auto"/>
        <w:ind w:firstLine="480"/>
        <w:rPr>
          <w:rFonts w:ascii="仿宋_GB2312" w:hAnsi="宋体" w:eastAsia="仿宋_GB2312"/>
          <w:b/>
          <w:color w:val="000000" w:themeColor="text1"/>
          <w:szCs w:val="28"/>
          <w:highlight w:val="none"/>
        </w:rPr>
      </w:pPr>
      <w:r>
        <w:rPr>
          <w:rFonts w:hint="eastAsia" w:ascii="仿宋_GB2312" w:hAnsi="宋体" w:eastAsia="仿宋_GB2312"/>
          <w:color w:val="000000" w:themeColor="text1"/>
          <w:szCs w:val="28"/>
          <w:highlight w:val="none"/>
        </w:rPr>
        <w:t>2．卡体要求</w:t>
      </w:r>
    </w:p>
    <w:p>
      <w:pPr>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符合ISO7816-1&amp;2的参考标准，卡体尺寸符合</w:t>
      </w:r>
      <w:r>
        <w:rPr>
          <w:rFonts w:hint="eastAsia" w:ascii="仿宋_GB2312" w:hAnsi="宋体" w:eastAsia="仿宋_GB2312"/>
          <w:b/>
          <w:color w:val="000000" w:themeColor="text1"/>
          <w:szCs w:val="28"/>
          <w:highlight w:val="none"/>
        </w:rPr>
        <w:t>《中国金融集成电路(IC)卡规范 V3.0》</w:t>
      </w:r>
      <w:r>
        <w:rPr>
          <w:rFonts w:hint="eastAsia" w:ascii="仿宋_GB2312" w:hAnsi="宋体" w:eastAsia="仿宋_GB2312"/>
          <w:color w:val="000000" w:themeColor="text1"/>
          <w:szCs w:val="28"/>
          <w:highlight w:val="none"/>
        </w:rPr>
        <w:t xml:space="preserve">所规定的尺寸。 </w:t>
      </w:r>
    </w:p>
    <w:p>
      <w:pPr>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片基85.47mm≤长度≤85.72mm，53.92mm≤宽度≤54.03mm；</w:t>
      </w:r>
    </w:p>
    <w:p>
      <w:pPr>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导角：3.18mm的圆弧；</w:t>
      </w:r>
    </w:p>
    <w:p>
      <w:pPr>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厚度：0.76mm≤厚度≤0.84mm。</w:t>
      </w:r>
    </w:p>
    <w:p>
      <w:pPr>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卡体边沿：卡体的边沿光滑，毛剌小于0.08mm；</w:t>
      </w:r>
    </w:p>
    <w:p>
      <w:pPr>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卡体表面透明覆膜；</w:t>
      </w:r>
    </w:p>
    <w:p>
      <w:pPr>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卡体复合强度：卡片的卡基、热合透明膜应复合良好，卡片没有起层、气泡、剥离等现象。</w:t>
      </w:r>
    </w:p>
    <w:p>
      <w:pPr>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外观：卡片外观没有明显变形、凹凸不平，卡片上没有孔、坑、损伤、破裂、划伤、磨毛、热合亮斑等；</w:t>
      </w:r>
    </w:p>
    <w:p>
      <w:pPr>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卡片没有3个以上尘点、墨点、气泡、杂质等异常斑点或异物；</w:t>
      </w:r>
    </w:p>
    <w:p>
      <w:pPr>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卡片凸码烫金、银牢固不掉色；</w:t>
      </w:r>
    </w:p>
    <w:p>
      <w:pPr>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卡片平直。</w:t>
      </w:r>
    </w:p>
    <w:p>
      <w:pPr>
        <w:spacing w:line="360" w:lineRule="auto"/>
        <w:ind w:firstLine="315" w:firstLineChars="15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3.外观要求如下：</w:t>
      </w:r>
    </w:p>
    <w:tbl>
      <w:tblPr>
        <w:tblStyle w:val="55"/>
        <w:tblW w:w="6893" w:type="dxa"/>
        <w:jc w:val="center"/>
        <w:tblInd w:w="15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2"/>
        <w:gridCol w:w="6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jc w:val="center"/>
        </w:trPr>
        <w:tc>
          <w:tcPr>
            <w:tcW w:w="692" w:type="dxa"/>
            <w:vAlign w:val="bottom"/>
          </w:tcPr>
          <w:p>
            <w:pPr>
              <w:spacing w:line="360" w:lineRule="auto"/>
              <w:ind w:left="-2" w:leftChars="-1"/>
              <w:jc w:val="center"/>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项目</w:t>
            </w:r>
          </w:p>
        </w:tc>
        <w:tc>
          <w:tcPr>
            <w:tcW w:w="6201" w:type="dxa"/>
            <w:vAlign w:val="bottom"/>
          </w:tcPr>
          <w:p>
            <w:pPr>
              <w:spacing w:line="360" w:lineRule="auto"/>
              <w:ind w:left="-2" w:leftChars="-1"/>
              <w:jc w:val="center"/>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标   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2" w:type="dxa"/>
            <w:vAlign w:val="bottom"/>
          </w:tcPr>
          <w:p>
            <w:pPr>
              <w:spacing w:line="360" w:lineRule="auto"/>
              <w:ind w:left="-2" w:leftChars="-1"/>
              <w:jc w:val="center"/>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光洁</w:t>
            </w:r>
          </w:p>
        </w:tc>
        <w:tc>
          <w:tcPr>
            <w:tcW w:w="6201" w:type="dxa"/>
            <w:vAlign w:val="bottom"/>
          </w:tcPr>
          <w:p>
            <w:pPr>
              <w:spacing w:line="360" w:lineRule="auto"/>
              <w:ind w:left="-2" w:leftChars="-1"/>
              <w:jc w:val="center"/>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无气泡、凹凸点及脏污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2" w:type="dxa"/>
            <w:vAlign w:val="bottom"/>
          </w:tcPr>
          <w:p>
            <w:pPr>
              <w:spacing w:line="360" w:lineRule="auto"/>
              <w:ind w:left="-2" w:leftChars="-1"/>
              <w:jc w:val="center"/>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黑点</w:t>
            </w:r>
          </w:p>
        </w:tc>
        <w:tc>
          <w:tcPr>
            <w:tcW w:w="6201" w:type="dxa"/>
            <w:vAlign w:val="bottom"/>
          </w:tcPr>
          <w:p>
            <w:pPr>
              <w:spacing w:line="360" w:lineRule="auto"/>
              <w:ind w:left="-2" w:leftChars="-1"/>
              <w:jc w:val="center"/>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直径＞0.2</w:t>
            </w:r>
            <w:r>
              <w:rPr>
                <w:rFonts w:hint="eastAsia" w:ascii="仿宋_GB2312" w:hAnsi="宋体"/>
                <w:color w:val="000000" w:themeColor="text1"/>
                <w:szCs w:val="28"/>
                <w:highlight w:val="none"/>
              </w:rPr>
              <w:t>㎜</w:t>
            </w:r>
            <w:r>
              <w:rPr>
                <w:rFonts w:hint="eastAsia" w:ascii="仿宋_GB2312" w:hAnsi="宋体" w:eastAsia="仿宋_GB2312"/>
                <w:color w:val="000000" w:themeColor="text1"/>
                <w:szCs w:val="28"/>
                <w:highlight w:val="none"/>
              </w:rPr>
              <w:t>的不明显黑点：正面不超过1个；反面不超过2个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2" w:type="dxa"/>
            <w:vAlign w:val="bottom"/>
          </w:tcPr>
          <w:p>
            <w:pPr>
              <w:spacing w:line="360" w:lineRule="auto"/>
              <w:ind w:left="-2" w:leftChars="-1"/>
              <w:jc w:val="center"/>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杂物</w:t>
            </w:r>
          </w:p>
        </w:tc>
        <w:tc>
          <w:tcPr>
            <w:tcW w:w="6201" w:type="dxa"/>
            <w:vAlign w:val="bottom"/>
          </w:tcPr>
          <w:p>
            <w:pPr>
              <w:spacing w:line="360" w:lineRule="auto"/>
              <w:ind w:left="-2" w:leftChars="-1"/>
              <w:jc w:val="center"/>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长度＞0.5</w:t>
            </w:r>
            <w:r>
              <w:rPr>
                <w:rFonts w:hint="eastAsia" w:ascii="仿宋_GB2312" w:hAnsi="宋体"/>
                <w:color w:val="000000" w:themeColor="text1"/>
                <w:szCs w:val="28"/>
                <w:highlight w:val="none"/>
              </w:rPr>
              <w:t>㎜</w:t>
            </w:r>
            <w:r>
              <w:rPr>
                <w:rFonts w:hint="eastAsia" w:ascii="仿宋_GB2312" w:hAnsi="宋体" w:eastAsia="仿宋_GB2312"/>
                <w:color w:val="000000" w:themeColor="text1"/>
                <w:szCs w:val="28"/>
                <w:highlight w:val="none"/>
              </w:rPr>
              <w:t>的细小杂质纤维：正面不超过1个；反面不超过2个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2" w:type="dxa"/>
            <w:vAlign w:val="bottom"/>
          </w:tcPr>
          <w:p>
            <w:pPr>
              <w:spacing w:line="360" w:lineRule="auto"/>
              <w:ind w:left="-2" w:leftChars="-1"/>
              <w:jc w:val="center"/>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色斑</w:t>
            </w:r>
          </w:p>
        </w:tc>
        <w:tc>
          <w:tcPr>
            <w:tcW w:w="6201" w:type="dxa"/>
            <w:vAlign w:val="bottom"/>
          </w:tcPr>
          <w:p>
            <w:pPr>
              <w:spacing w:line="360" w:lineRule="auto"/>
              <w:ind w:left="-2" w:leftChars="-1"/>
              <w:jc w:val="center"/>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直径＞0.5</w:t>
            </w:r>
            <w:r>
              <w:rPr>
                <w:rFonts w:hint="eastAsia" w:ascii="仿宋_GB2312" w:hAnsi="宋体"/>
                <w:color w:val="000000" w:themeColor="text1"/>
                <w:szCs w:val="28"/>
                <w:highlight w:val="none"/>
              </w:rPr>
              <w:t>㎜</w:t>
            </w:r>
            <w:r>
              <w:rPr>
                <w:rFonts w:hint="eastAsia" w:ascii="仿宋_GB2312" w:hAnsi="宋体" w:eastAsia="仿宋_GB2312"/>
                <w:color w:val="000000" w:themeColor="text1"/>
                <w:szCs w:val="28"/>
                <w:highlight w:val="none"/>
              </w:rPr>
              <w:t>杂色斑：正反面不允许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2" w:type="dxa"/>
            <w:vAlign w:val="bottom"/>
          </w:tcPr>
          <w:p>
            <w:pPr>
              <w:spacing w:line="360" w:lineRule="auto"/>
              <w:ind w:left="-2" w:leftChars="-1"/>
              <w:jc w:val="center"/>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划痕</w:t>
            </w:r>
          </w:p>
        </w:tc>
        <w:tc>
          <w:tcPr>
            <w:tcW w:w="6201" w:type="dxa"/>
            <w:vAlign w:val="bottom"/>
          </w:tcPr>
          <w:p>
            <w:pPr>
              <w:spacing w:line="360" w:lineRule="auto"/>
              <w:ind w:left="-2" w:leftChars="-1"/>
              <w:jc w:val="center"/>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长度＞5</w:t>
            </w:r>
            <w:r>
              <w:rPr>
                <w:rFonts w:hint="eastAsia" w:ascii="仿宋_GB2312" w:hAnsi="宋体"/>
                <w:color w:val="000000" w:themeColor="text1"/>
                <w:szCs w:val="28"/>
                <w:highlight w:val="none"/>
              </w:rPr>
              <w:t>㎜</w:t>
            </w:r>
            <w:r>
              <w:rPr>
                <w:rFonts w:hint="eastAsia" w:ascii="仿宋_GB2312" w:hAnsi="宋体" w:eastAsia="仿宋_GB2312"/>
                <w:color w:val="000000" w:themeColor="text1"/>
                <w:szCs w:val="28"/>
                <w:highlight w:val="none"/>
              </w:rPr>
              <w:t>的细划痕：不超过2条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2" w:type="dxa"/>
            <w:vAlign w:val="bottom"/>
          </w:tcPr>
          <w:p>
            <w:pPr>
              <w:spacing w:line="360" w:lineRule="auto"/>
              <w:ind w:left="-2" w:leftChars="-1"/>
              <w:jc w:val="center"/>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色差</w:t>
            </w:r>
          </w:p>
        </w:tc>
        <w:tc>
          <w:tcPr>
            <w:tcW w:w="6201" w:type="dxa"/>
            <w:vAlign w:val="bottom"/>
          </w:tcPr>
          <w:p>
            <w:pPr>
              <w:spacing w:line="360" w:lineRule="auto"/>
              <w:ind w:left="-2" w:leftChars="-1"/>
              <w:jc w:val="center"/>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不超出±5 %</w:t>
            </w:r>
          </w:p>
        </w:tc>
      </w:tr>
    </w:tbl>
    <w:p>
      <w:pPr>
        <w:spacing w:line="360" w:lineRule="auto"/>
        <w:ind w:firstLine="315" w:firstLineChars="15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4．卡体印刷要求</w:t>
      </w:r>
    </w:p>
    <w:p>
      <w:pPr>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（1）色彩：卡片的图案和颜色应以设计原稿样卡为准，复制真实、自然，且同一产品不同批次生产的卡片，差值小于3.5ΔE*ab单位。</w:t>
      </w:r>
    </w:p>
    <w:p>
      <w:pPr>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2）印刷：印刷没有内容错误、漏印刷、印刷图案或字符方向错误、印刷位置错误的问题；印刷表面没有明显色斑、条纹，图案或字符有明显重影、毛剌或缺损；卡片的图案和文字符号及印刷式样可根据客户要求设计；卡经覆膜处理后，图案精美、色泽鲜艳、表面耐磨，在正常应用情况下，图案不褪色、不剥落；</w:t>
      </w:r>
    </w:p>
    <w:p>
      <w:pPr>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（3）插卡最高次数、使用最长年限和正常坏损率符合行业常规要求；</w:t>
      </w:r>
    </w:p>
    <w:p>
      <w:pPr>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（4）卡片机电特性要求</w:t>
      </w:r>
    </w:p>
    <w:p>
      <w:pPr>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卡片的机械特性、电气特性要符合</w:t>
      </w:r>
      <w:r>
        <w:rPr>
          <w:rFonts w:hint="eastAsia" w:ascii="仿宋_GB2312" w:hAnsi="宋体" w:eastAsia="仿宋_GB2312"/>
          <w:b/>
          <w:color w:val="000000" w:themeColor="text1"/>
          <w:szCs w:val="28"/>
          <w:highlight w:val="none"/>
        </w:rPr>
        <w:t>《中国金融集成电路(IC)卡规范 V3.0》</w:t>
      </w:r>
      <w:r>
        <w:rPr>
          <w:rFonts w:hint="eastAsia" w:ascii="仿宋_GB2312" w:hAnsi="宋体" w:eastAsia="仿宋_GB2312"/>
          <w:color w:val="000000" w:themeColor="text1"/>
          <w:szCs w:val="28"/>
          <w:highlight w:val="none"/>
        </w:rPr>
        <w:t>，遵从ISO/IEC7816系列标准。卡的弯曲翘曲符合国家标准，抗弯折和扭曲性能：符合ISO14443的测试标准，卡片动态扭曲达到1000次，卡片动态弯曲达到1000次，卡片的层间剥离强度符合国家标准。</w:t>
      </w:r>
    </w:p>
    <w:p>
      <w:pPr>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主要指标如下：</w:t>
      </w:r>
    </w:p>
    <w:p>
      <w:pPr>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①模块高度</w:t>
      </w:r>
    </w:p>
    <w:p>
      <w:pPr>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IC模块表面的最高点不应高于卡表面平面0.05mm;</w:t>
      </w:r>
    </w:p>
    <w:p>
      <w:pPr>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IC模块表面的最低点不应低于卡表面平面0.05mm。</w:t>
      </w:r>
    </w:p>
    <w:p>
      <w:pPr>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②整卡翘曲度：</w:t>
      </w:r>
    </w:p>
    <w:p>
      <w:pPr>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翘曲最大值应不大于1.5mm</w:t>
      </w:r>
    </w:p>
    <w:p>
      <w:pPr>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卡片切边毛刺长度：＜0.08mm。</w:t>
      </w:r>
    </w:p>
    <w:p>
      <w:pPr>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③弯曲刚度：</w:t>
      </w:r>
    </w:p>
    <w:p>
      <w:pPr>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弹性变形量应在3mm与35mm之间。</w:t>
      </w:r>
    </w:p>
    <w:p>
      <w:pPr>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塑性变形量应小于1.5mm。</w:t>
      </w:r>
    </w:p>
    <w:p>
      <w:pPr>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④表层剥离强度：≥3.5N/cm。</w:t>
      </w:r>
    </w:p>
    <w:p>
      <w:pPr>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⑤温、湿度条件下的卡尺寸稳定性和翘曲：</w:t>
      </w:r>
    </w:p>
    <w:p>
      <w:pPr>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将卡依次置于下列环境下各60分钟（a）-35°C±3°C；（b）50°C±3°C，相对湿度95%±5%将卡取出，放在实验室环境条件下保持24小时，再测卡片尺寸及卡片翘曲，要求卡片尺寸值和最大翘曲值的测量的结果应与原测量值一致。</w:t>
      </w:r>
    </w:p>
    <w:p>
      <w:pPr>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⑥粘结性能</w:t>
      </w:r>
    </w:p>
    <w:p>
      <w:pPr>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将未打过凸字的卡5个一组叠在一起放入40℃±3℃，相对湿度设定为40%-60%的箱内，使卡背面朝下，其上加以2.5Kpa的均匀压力。48小时之后取出，可以用手很容易地将单张卡分开。将卡拿到实验室环境温度下立刻观察，应无下列变化：脱层；变色或色转移；表面磨光变化；卡上没有物质转移现象；外观形变。</w:t>
      </w:r>
    </w:p>
    <w:p>
      <w:pPr>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⑦弯曲特性</w:t>
      </w:r>
    </w:p>
    <w:p>
      <w:pPr>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裁制完成之卡必须平直，其曲度、垂直间隙必须在1.27MM以下；</w:t>
      </w:r>
    </w:p>
    <w:p>
      <w:pPr>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凸字后其曲度垂直间隙必须在2.03MM以下，叠合层不得剥离或脱落；</w:t>
      </w:r>
    </w:p>
    <w:p>
      <w:pPr>
        <w:spacing w:line="360" w:lineRule="auto"/>
        <w:ind w:firstLine="480"/>
        <w:rPr>
          <w:rFonts w:ascii="仿宋_GB2312" w:eastAsia="仿宋_GB2312"/>
          <w:color w:val="000000" w:themeColor="text1"/>
          <w:highlight w:val="none"/>
        </w:rPr>
      </w:pPr>
      <w:r>
        <w:rPr>
          <w:rFonts w:hint="eastAsia" w:ascii="仿宋_GB2312" w:eastAsia="仿宋_GB2312"/>
          <w:color w:val="000000" w:themeColor="text1"/>
          <w:highlight w:val="none"/>
        </w:rPr>
        <w:t>⑧防磁、防水、耐温、耐潮湿、耐其他化学物质腐蚀等方面，符合国家标准要求。</w:t>
      </w:r>
      <w:bookmarkStart w:id="144" w:name="_Toc222907392"/>
      <w:bookmarkStart w:id="145" w:name="_Toc302634720"/>
    </w:p>
    <w:p>
      <w:pPr>
        <w:tabs>
          <w:tab w:val="left" w:pos="2760"/>
        </w:tabs>
        <w:spacing w:line="360" w:lineRule="auto"/>
        <w:ind w:firstLine="480"/>
        <w:rPr>
          <w:rFonts w:ascii="仿宋_GB2312" w:hAnsi="宋体" w:eastAsia="仿宋_GB2312"/>
          <w:color w:val="000000" w:themeColor="text1"/>
          <w:szCs w:val="28"/>
          <w:highlight w:val="none"/>
        </w:rPr>
      </w:pPr>
      <w:r>
        <w:rPr>
          <w:rFonts w:hint="eastAsia" w:ascii="仿宋_GB2312" w:eastAsia="仿宋_GB2312"/>
          <w:color w:val="000000" w:themeColor="text1"/>
          <w:highlight w:val="none"/>
        </w:rPr>
        <w:t>5．卡面制版要求</w:t>
      </w:r>
      <w:bookmarkEnd w:id="144"/>
      <w:bookmarkEnd w:id="145"/>
      <w:r>
        <w:rPr>
          <w:rFonts w:hint="eastAsia" w:ascii="仿宋_GB2312" w:eastAsia="仿宋_GB2312"/>
          <w:color w:val="000000" w:themeColor="text1"/>
          <w:highlight w:val="none"/>
        </w:rPr>
        <w:tab/>
      </w:r>
    </w:p>
    <w:p>
      <w:pPr>
        <w:pStyle w:val="25"/>
        <w:spacing w:line="360" w:lineRule="auto"/>
        <w:ind w:firstLine="420" w:firstLineChars="20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底纹文字、防伪标志及其他要素必须按照银联有关规范实施。卡片正、反面还应按规范印刷“银联”图案。</w:t>
      </w:r>
    </w:p>
    <w:p>
      <w:pPr>
        <w:pStyle w:val="25"/>
        <w:spacing w:line="360" w:lineRule="auto"/>
        <w:ind w:firstLine="420" w:firstLineChars="20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卡片正背面印刷按用户指定的图样和文字，卡号由用户自行定义及处理。</w:t>
      </w:r>
    </w:p>
    <w:p>
      <w:pPr>
        <w:pStyle w:val="3"/>
        <w:rPr>
          <w:rFonts w:ascii="仿宋_GB2312" w:eastAsia="仿宋_GB2312" w:hAnsiTheme="minorHAnsi" w:cstheme="minorBidi"/>
          <w:bCs w:val="0"/>
          <w:color w:val="000000" w:themeColor="text1"/>
          <w:kern w:val="2"/>
          <w:sz w:val="21"/>
          <w:szCs w:val="22"/>
          <w:highlight w:val="none"/>
        </w:rPr>
      </w:pPr>
      <w:bookmarkStart w:id="146" w:name="_Toc222907393"/>
      <w:bookmarkStart w:id="147" w:name="_Toc302634721"/>
      <w:r>
        <w:rPr>
          <w:rFonts w:hint="eastAsia" w:ascii="仿宋_GB2312" w:eastAsia="仿宋_GB2312" w:hAnsiTheme="minorHAnsi" w:cstheme="minorBidi"/>
          <w:bCs w:val="0"/>
          <w:color w:val="000000" w:themeColor="text1"/>
          <w:kern w:val="2"/>
          <w:sz w:val="21"/>
          <w:szCs w:val="22"/>
          <w:highlight w:val="none"/>
        </w:rPr>
        <w:t>四、卡片生产要求</w:t>
      </w:r>
      <w:bookmarkEnd w:id="146"/>
      <w:bookmarkEnd w:id="147"/>
    </w:p>
    <w:p>
      <w:pPr>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制造能满足甲方项目功能、性能、质量要求的智能卡。卡片符合相关规范技术要求，并通过相应检测认证，具备接触式和双界面卡片生产能力；卡片生产过程符合ISO9001质量体系要求；卡片质量符合相关行业标准；卡片生产提供数量符合项目建设计划要求。</w:t>
      </w:r>
    </w:p>
    <w:p>
      <w:pPr>
        <w:tabs>
          <w:tab w:val="left" w:pos="1260"/>
        </w:tabs>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提供测试卡和正式样卡。</w:t>
      </w:r>
    </w:p>
    <w:p>
      <w:pPr>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（1）在卡应用开发调试阶段，为配合IC卡应用开发，必须及时提供测试卡。</w:t>
      </w:r>
    </w:p>
    <w:p>
      <w:pPr>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（2）按照甲方制版提供正式样卡。正式制卡前应提供正式样卡，该卡片应与批量制卡完全一致，提交甲方测试、确认、备案。</w:t>
      </w:r>
    </w:p>
    <w:p>
      <w:pPr>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（3）配合甲方将正式样卡提交人民银行等相关单位检测。</w:t>
      </w:r>
    </w:p>
    <w:p>
      <w:pPr>
        <w:tabs>
          <w:tab w:val="left" w:pos="1260"/>
        </w:tabs>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严格按照相关标准生产，生产过程中非因甲方提供的原始生产数据有误而产生的废卡由乙方负责。</w:t>
      </w:r>
    </w:p>
    <w:p>
      <w:pPr>
        <w:tabs>
          <w:tab w:val="left" w:pos="1260"/>
        </w:tabs>
        <w:spacing w:line="360" w:lineRule="auto"/>
        <w:ind w:firstLine="480"/>
        <w:rPr>
          <w:rFonts w:ascii="仿宋_GB2312" w:eastAsia="仿宋_GB2312"/>
          <w:color w:val="000000" w:themeColor="text1"/>
          <w:highlight w:val="none"/>
        </w:rPr>
      </w:pPr>
      <w:r>
        <w:rPr>
          <w:rFonts w:hint="eastAsia" w:ascii="仿宋_GB2312" w:eastAsia="仿宋_GB2312"/>
          <w:color w:val="000000" w:themeColor="text1"/>
          <w:szCs w:val="28"/>
          <w:highlight w:val="none"/>
        </w:rPr>
        <w:t>IC卡制作过程中的安全管理要求：在IC卡的生产过程中必须对生产人员、生产环境，以及各种生产要素进行严格的安全管理和控制，保证卡片和制卡数据的安全和保密。</w:t>
      </w:r>
      <w:bookmarkStart w:id="148" w:name="_Toc302634722"/>
    </w:p>
    <w:p>
      <w:pPr>
        <w:tabs>
          <w:tab w:val="left" w:pos="1260"/>
        </w:tabs>
        <w:spacing w:line="360" w:lineRule="auto"/>
        <w:rPr>
          <w:rFonts w:ascii="仿宋_GB2312" w:eastAsia="仿宋_GB2312"/>
          <w:b/>
          <w:color w:val="000000" w:themeColor="text1"/>
          <w:highlight w:val="none"/>
        </w:rPr>
      </w:pPr>
      <w:r>
        <w:rPr>
          <w:rFonts w:hint="eastAsia" w:ascii="仿宋_GB2312" w:eastAsia="仿宋_GB2312"/>
          <w:b/>
          <w:color w:val="000000" w:themeColor="text1"/>
          <w:highlight w:val="none"/>
        </w:rPr>
        <w:t>五、数据安全要求</w:t>
      </w:r>
      <w:bookmarkEnd w:id="148"/>
    </w:p>
    <w:p>
      <w:pPr>
        <w:tabs>
          <w:tab w:val="left" w:pos="1260"/>
        </w:tabs>
        <w:spacing w:line="360" w:lineRule="auto"/>
        <w:ind w:firstLine="480"/>
        <w:rPr>
          <w:rFonts w:ascii="仿宋_GB2312" w:eastAsia="仿宋_GB2312"/>
          <w:color w:val="000000" w:themeColor="text1"/>
          <w:highlight w:val="none"/>
        </w:rPr>
      </w:pPr>
      <w:r>
        <w:rPr>
          <w:rFonts w:hint="eastAsia" w:ascii="仿宋_GB2312" w:eastAsia="仿宋_GB2312"/>
          <w:color w:val="000000" w:themeColor="text1"/>
          <w:highlight w:val="none"/>
        </w:rPr>
        <w:t>乙方必须按照中国人民银行、中国银监会、中国银联、VISA等国际组织的相关要求，制定严格的数字管理制度，对业务、设计、制版、工艺等部门的生产流程进行严格的规定，乙方各工序制作人员应严格按照该制度执行。</w:t>
      </w:r>
    </w:p>
    <w:p>
      <w:pPr>
        <w:tabs>
          <w:tab w:val="left" w:pos="1260"/>
        </w:tabs>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乙方必须具有严密的数据和信息安全管理、数据传输安全管理、数据存储介质管理和生产加工过程安全管理制度。</w:t>
      </w:r>
    </w:p>
    <w:p>
      <w:pPr>
        <w:tabs>
          <w:tab w:val="left" w:pos="1260"/>
        </w:tabs>
        <w:spacing w:line="360" w:lineRule="auto"/>
        <w:ind w:firstLine="480"/>
        <w:rPr>
          <w:rFonts w:ascii="仿宋_GB2312" w:eastAsia="仿宋_GB2312"/>
          <w:color w:val="000000" w:themeColor="text1"/>
          <w:highlight w:val="none"/>
        </w:rPr>
      </w:pPr>
      <w:r>
        <w:rPr>
          <w:rFonts w:hint="eastAsia" w:ascii="仿宋_GB2312" w:eastAsia="仿宋_GB2312"/>
          <w:color w:val="000000" w:themeColor="text1"/>
          <w:highlight w:val="none"/>
        </w:rPr>
        <w:t>双方数据交换必须通过数据加密系统来进行数据加解密，并采用安全可靠的网络连接方式进行传输，同时采用硬件防火墙进行隔离；甲方拥有独立的访问权限、存储空间。</w:t>
      </w:r>
      <w:bookmarkStart w:id="149" w:name="_Toc302634724"/>
    </w:p>
    <w:bookmarkEnd w:id="149"/>
    <w:p>
      <w:pPr>
        <w:ind w:firstLine="465"/>
        <w:rPr>
          <w:rFonts w:ascii="仿宋_GB2312" w:eastAsia="仿宋_GB2312"/>
          <w:color w:val="000000" w:themeColor="text1"/>
          <w:sz w:val="24"/>
          <w:szCs w:val="24"/>
          <w:highlight w:val="none"/>
        </w:rPr>
      </w:pPr>
    </w:p>
    <w:p>
      <w:pPr>
        <w:pStyle w:val="288"/>
        <w:tabs>
          <w:tab w:val="left" w:pos="426"/>
        </w:tabs>
        <w:ind w:firstLine="0" w:firstLineChars="0"/>
        <w:rPr>
          <w:rFonts w:ascii="仿宋_GB2312" w:eastAsia="仿宋_GB2312" w:hAnsiTheme="minorHAnsi"/>
          <w:color w:val="000000" w:themeColor="text1"/>
          <w:highlight w:val="none"/>
        </w:rPr>
      </w:pPr>
    </w:p>
    <w:p>
      <w:pPr>
        <w:pStyle w:val="288"/>
        <w:tabs>
          <w:tab w:val="left" w:pos="426"/>
        </w:tabs>
        <w:ind w:firstLine="0" w:firstLineChars="0"/>
        <w:rPr>
          <w:rFonts w:ascii="仿宋_GB2312" w:eastAsia="仿宋_GB2312" w:hAnsiTheme="minorHAnsi"/>
          <w:color w:val="000000" w:themeColor="text1"/>
          <w:highlight w:val="none"/>
        </w:rPr>
      </w:pPr>
    </w:p>
    <w:p>
      <w:pPr>
        <w:pStyle w:val="288"/>
        <w:tabs>
          <w:tab w:val="left" w:pos="426"/>
        </w:tabs>
        <w:ind w:firstLine="0" w:firstLineChars="0"/>
        <w:rPr>
          <w:rFonts w:ascii="仿宋_GB2312" w:eastAsia="仿宋_GB2312" w:hAnsiTheme="minorHAnsi"/>
          <w:color w:val="000000" w:themeColor="text1"/>
          <w:highlight w:val="none"/>
        </w:rPr>
      </w:pPr>
    </w:p>
    <w:p>
      <w:pPr>
        <w:pStyle w:val="288"/>
        <w:tabs>
          <w:tab w:val="left" w:pos="426"/>
        </w:tabs>
        <w:ind w:firstLine="0" w:firstLineChars="0"/>
        <w:rPr>
          <w:rFonts w:ascii="仿宋_GB2312" w:eastAsia="仿宋_GB2312" w:hAnsiTheme="minorHAnsi"/>
          <w:color w:val="000000" w:themeColor="text1"/>
          <w:highlight w:val="none"/>
        </w:rPr>
      </w:pPr>
    </w:p>
    <w:p>
      <w:pPr>
        <w:pStyle w:val="288"/>
        <w:tabs>
          <w:tab w:val="left" w:pos="426"/>
        </w:tabs>
        <w:ind w:firstLine="0" w:firstLineChars="0"/>
        <w:rPr>
          <w:rFonts w:ascii="仿宋_GB2312" w:eastAsia="仿宋_GB2312" w:hAnsiTheme="minorHAnsi"/>
          <w:color w:val="000000" w:themeColor="text1"/>
          <w:highlight w:val="none"/>
        </w:rPr>
      </w:pPr>
    </w:p>
    <w:p>
      <w:pPr>
        <w:pStyle w:val="288"/>
        <w:tabs>
          <w:tab w:val="left" w:pos="426"/>
        </w:tabs>
        <w:ind w:firstLine="0" w:firstLineChars="0"/>
        <w:rPr>
          <w:rFonts w:ascii="仿宋_GB2312" w:eastAsia="仿宋_GB2312" w:hAnsiTheme="minorHAnsi"/>
          <w:color w:val="000000" w:themeColor="text1"/>
          <w:highlight w:val="none"/>
        </w:rPr>
      </w:pPr>
    </w:p>
    <w:p>
      <w:pPr>
        <w:pStyle w:val="288"/>
        <w:tabs>
          <w:tab w:val="left" w:pos="426"/>
        </w:tabs>
        <w:ind w:firstLine="0" w:firstLineChars="0"/>
        <w:rPr>
          <w:rFonts w:ascii="仿宋_GB2312" w:eastAsia="仿宋_GB2312" w:hAnsiTheme="minorHAnsi"/>
          <w:color w:val="000000" w:themeColor="text1"/>
          <w:highlight w:val="none"/>
        </w:rPr>
      </w:pPr>
    </w:p>
    <w:p>
      <w:pPr>
        <w:pStyle w:val="288"/>
        <w:tabs>
          <w:tab w:val="left" w:pos="426"/>
        </w:tabs>
        <w:ind w:firstLine="0" w:firstLineChars="0"/>
        <w:rPr>
          <w:rFonts w:ascii="仿宋_GB2312" w:eastAsia="仿宋_GB2312" w:hAnsiTheme="minorHAnsi"/>
          <w:color w:val="000000" w:themeColor="text1"/>
          <w:highlight w:val="none"/>
        </w:rPr>
      </w:pPr>
    </w:p>
    <w:p>
      <w:pPr>
        <w:pStyle w:val="288"/>
        <w:tabs>
          <w:tab w:val="left" w:pos="426"/>
        </w:tabs>
        <w:ind w:firstLine="0" w:firstLineChars="0"/>
        <w:rPr>
          <w:rFonts w:ascii="仿宋_GB2312" w:eastAsia="仿宋_GB2312" w:hAnsiTheme="minorHAnsi"/>
          <w:color w:val="000000" w:themeColor="text1"/>
          <w:highlight w:val="none"/>
        </w:rPr>
      </w:pPr>
    </w:p>
    <w:p>
      <w:pPr>
        <w:pStyle w:val="288"/>
        <w:tabs>
          <w:tab w:val="left" w:pos="426"/>
        </w:tabs>
        <w:ind w:firstLine="0" w:firstLineChars="0"/>
        <w:rPr>
          <w:rFonts w:ascii="仿宋_GB2312" w:eastAsia="仿宋_GB2312" w:hAnsiTheme="minorHAnsi"/>
          <w:color w:val="000000" w:themeColor="text1"/>
          <w:highlight w:val="none"/>
        </w:rPr>
      </w:pPr>
    </w:p>
    <w:p>
      <w:pPr>
        <w:pStyle w:val="288"/>
        <w:tabs>
          <w:tab w:val="left" w:pos="426"/>
        </w:tabs>
        <w:ind w:firstLine="0" w:firstLineChars="0"/>
        <w:rPr>
          <w:rFonts w:ascii="仿宋_GB2312" w:eastAsia="仿宋_GB2312" w:hAnsiTheme="minorHAnsi"/>
          <w:color w:val="000000" w:themeColor="text1"/>
          <w:highlight w:val="none"/>
        </w:rPr>
      </w:pPr>
    </w:p>
    <w:p>
      <w:pPr>
        <w:pStyle w:val="288"/>
        <w:tabs>
          <w:tab w:val="left" w:pos="426"/>
        </w:tabs>
        <w:ind w:firstLine="0" w:firstLineChars="0"/>
        <w:rPr>
          <w:rFonts w:ascii="仿宋_GB2312" w:eastAsia="仿宋_GB2312" w:hAnsiTheme="minorHAnsi"/>
          <w:color w:val="000000" w:themeColor="text1"/>
          <w:highlight w:val="none"/>
        </w:rPr>
      </w:pPr>
    </w:p>
    <w:p>
      <w:pPr>
        <w:pStyle w:val="288"/>
        <w:tabs>
          <w:tab w:val="left" w:pos="426"/>
        </w:tabs>
        <w:ind w:firstLine="0" w:firstLineChars="0"/>
        <w:rPr>
          <w:rFonts w:ascii="仿宋_GB2312" w:eastAsia="仿宋_GB2312" w:hAnsiTheme="minorHAnsi"/>
          <w:color w:val="000000" w:themeColor="text1"/>
          <w:highlight w:val="none"/>
        </w:rPr>
      </w:pPr>
    </w:p>
    <w:p>
      <w:pPr>
        <w:pStyle w:val="288"/>
        <w:tabs>
          <w:tab w:val="left" w:pos="426"/>
        </w:tabs>
        <w:ind w:firstLine="0" w:firstLineChars="0"/>
        <w:rPr>
          <w:rFonts w:ascii="仿宋_GB2312" w:eastAsia="仿宋_GB2312" w:hAnsiTheme="minorHAnsi"/>
          <w:color w:val="000000" w:themeColor="text1"/>
          <w:highlight w:val="none"/>
        </w:rPr>
      </w:pPr>
    </w:p>
    <w:p>
      <w:pPr>
        <w:pStyle w:val="288"/>
        <w:tabs>
          <w:tab w:val="left" w:pos="426"/>
        </w:tabs>
        <w:ind w:firstLine="0" w:firstLineChars="0"/>
        <w:rPr>
          <w:rFonts w:ascii="仿宋_GB2312" w:eastAsia="仿宋_GB2312" w:hAnsiTheme="minorHAnsi"/>
          <w:color w:val="000000" w:themeColor="text1"/>
          <w:highlight w:val="none"/>
        </w:rPr>
      </w:pPr>
      <w:r>
        <w:rPr>
          <w:rFonts w:hint="eastAsia" w:ascii="仿宋_GB2312" w:eastAsia="仿宋_GB2312" w:hAnsiTheme="minorHAnsi"/>
          <w:color w:val="000000" w:themeColor="text1"/>
          <w:highlight w:val="none"/>
        </w:rPr>
        <w:t>注：请各投标人仔细阅读招标文件相关条款，投标人对招标文件要求进行响应后，招标人在后期合同签订和项目实施过程中将按照招标文件要求执行，不再做出调整。</w:t>
      </w:r>
    </w:p>
    <w:p>
      <w:pPr>
        <w:rPr>
          <w:rFonts w:ascii="仿宋_GB2312" w:eastAsia="仿宋_GB2312"/>
          <w:color w:val="000000" w:themeColor="text1"/>
          <w:szCs w:val="28"/>
          <w:highlight w:val="none"/>
        </w:rPr>
      </w:pPr>
    </w:p>
    <w:p>
      <w:pPr>
        <w:keepNext/>
        <w:keepLines/>
        <w:numPr>
          <w:ilvl w:val="255"/>
          <w:numId w:val="0"/>
        </w:numPr>
        <w:spacing w:line="360" w:lineRule="auto"/>
        <w:outlineLvl w:val="0"/>
        <w:rPr>
          <w:rFonts w:ascii="Times New Roman" w:hAnsi="Times New Roman" w:eastAsia="黑体" w:cs="Times New Roman"/>
          <w:b/>
          <w:bCs/>
          <w:color w:val="000000" w:themeColor="text1"/>
          <w:kern w:val="44"/>
          <w:sz w:val="28"/>
          <w:szCs w:val="28"/>
          <w:highlight w:val="none"/>
        </w:rPr>
      </w:pPr>
    </w:p>
    <w:p>
      <w:pPr>
        <w:keepNext/>
        <w:keepLines/>
        <w:numPr>
          <w:ilvl w:val="255"/>
          <w:numId w:val="0"/>
        </w:numPr>
        <w:spacing w:line="360" w:lineRule="auto"/>
        <w:outlineLvl w:val="0"/>
        <w:rPr>
          <w:rFonts w:ascii="Times New Roman" w:hAnsi="Times New Roman" w:eastAsia="黑体" w:cs="Times New Roman"/>
          <w:b/>
          <w:bCs/>
          <w:color w:val="000000" w:themeColor="text1"/>
          <w:kern w:val="44"/>
          <w:sz w:val="28"/>
          <w:szCs w:val="28"/>
          <w:highlight w:val="none"/>
        </w:rPr>
      </w:pPr>
      <w:r>
        <w:rPr>
          <w:rFonts w:ascii="Times New Roman" w:hAnsi="Times New Roman" w:eastAsia="黑体" w:cs="Times New Roman"/>
          <w:b/>
          <w:bCs/>
          <w:color w:val="000000" w:themeColor="text1"/>
          <w:kern w:val="44"/>
          <w:sz w:val="28"/>
          <w:szCs w:val="28"/>
          <w:highlight w:val="none"/>
        </w:rPr>
        <w:br w:type="page"/>
      </w:r>
    </w:p>
    <w:p>
      <w:pPr>
        <w:keepNext/>
        <w:keepLines/>
        <w:numPr>
          <w:ilvl w:val="255"/>
          <w:numId w:val="0"/>
        </w:numPr>
        <w:spacing w:line="400" w:lineRule="exact"/>
        <w:jc w:val="center"/>
        <w:outlineLvl w:val="0"/>
        <w:rPr>
          <w:rFonts w:ascii="Times New Roman" w:hAnsi="Times New Roman" w:eastAsia="黑体" w:cs="Times New Roman"/>
          <w:b/>
          <w:bCs/>
          <w:color w:val="000000" w:themeColor="text1"/>
          <w:kern w:val="44"/>
          <w:sz w:val="28"/>
          <w:szCs w:val="28"/>
          <w:highlight w:val="none"/>
        </w:rPr>
      </w:pPr>
      <w:r>
        <w:rPr>
          <w:rFonts w:hint="eastAsia" w:ascii="Times New Roman" w:hAnsi="Times New Roman" w:eastAsia="黑体" w:cs="Times New Roman"/>
          <w:b/>
          <w:bCs/>
          <w:color w:val="000000" w:themeColor="text1"/>
          <w:kern w:val="44"/>
          <w:sz w:val="28"/>
          <w:szCs w:val="28"/>
          <w:highlight w:val="none"/>
        </w:rPr>
        <w:t>第四节  相关测试</w:t>
      </w:r>
    </w:p>
    <w:p>
      <w:pPr>
        <w:keepNext/>
        <w:keepLines/>
        <w:numPr>
          <w:ilvl w:val="255"/>
          <w:numId w:val="0"/>
        </w:numPr>
        <w:spacing w:line="360" w:lineRule="auto"/>
        <w:outlineLvl w:val="0"/>
        <w:rPr>
          <w:color w:val="000000" w:themeColor="text1"/>
          <w:szCs w:val="21"/>
          <w:highlight w:val="none"/>
        </w:rPr>
      </w:pPr>
    </w:p>
    <w:p>
      <w:pPr>
        <w:keepNext/>
        <w:keepLines/>
        <w:numPr>
          <w:ilvl w:val="255"/>
          <w:numId w:val="0"/>
        </w:numPr>
        <w:spacing w:line="360" w:lineRule="auto"/>
        <w:ind w:firstLine="420" w:firstLineChars="200"/>
        <w:outlineLvl w:val="0"/>
        <w:rPr>
          <w:rFonts w:ascii="Times New Roman" w:hAnsi="Times New Roman" w:eastAsia="黑体" w:cs="Times New Roman"/>
          <w:b/>
          <w:bCs/>
          <w:color w:val="000000" w:themeColor="text1"/>
          <w:kern w:val="44"/>
          <w:sz w:val="28"/>
          <w:szCs w:val="28"/>
          <w:highlight w:val="none"/>
        </w:rPr>
      </w:pPr>
      <w:r>
        <w:rPr>
          <w:rFonts w:hint="eastAsia"/>
          <w:color w:val="000000" w:themeColor="text1"/>
          <w:szCs w:val="21"/>
          <w:highlight w:val="none"/>
        </w:rPr>
        <w:t>评标结果公示结束后，招标人有权对拟中标人提供的投标产品进行相关测试（即原则上应在30天内通过银行卡检测中心检测（以收到银行卡检测中心关于银联IC卡个人化业务数据验证的检测报告为准）；如果是招标人的原因导致送检未通过的，耽误时间可顺延），供应商必须按相关规定完成该测试。如供应商测试未通过的，招标人将取消其中标候选人资格并有权扣除其投标保证金；在满足招标文件第二章第一节《投标人须知前附表》21款相关规定的前提下，招标人有权依序确定拟中标人并对其进行测试。</w:t>
      </w:r>
      <w:r>
        <w:rPr>
          <w:rFonts w:ascii="Times New Roman" w:hAnsi="Times New Roman" w:eastAsia="宋体" w:cs="Times New Roman"/>
          <w:color w:val="000000" w:themeColor="text1"/>
          <w:szCs w:val="21"/>
          <w:highlight w:val="none"/>
        </w:rPr>
        <w:br w:type="page"/>
      </w:r>
      <w:bookmarkStart w:id="150" w:name="_Toc385581881"/>
      <w:bookmarkStart w:id="151" w:name="_Toc489972857"/>
    </w:p>
    <w:p>
      <w:pPr>
        <w:keepNext/>
        <w:keepLines/>
        <w:spacing w:line="360" w:lineRule="auto"/>
        <w:outlineLvl w:val="0"/>
        <w:rPr>
          <w:rFonts w:ascii="Calibri" w:hAnsi="Calibri" w:eastAsia="黑体" w:cs="Times New Roman"/>
          <w:b/>
          <w:bCs/>
          <w:color w:val="000000" w:themeColor="text1"/>
          <w:kern w:val="44"/>
          <w:sz w:val="44"/>
          <w:szCs w:val="44"/>
          <w:highlight w:val="none"/>
        </w:rPr>
      </w:pPr>
    </w:p>
    <w:p>
      <w:pPr>
        <w:keepNext/>
        <w:keepLines/>
        <w:spacing w:line="360" w:lineRule="auto"/>
        <w:ind w:firstLine="883" w:firstLineChars="200"/>
        <w:jc w:val="center"/>
        <w:outlineLvl w:val="0"/>
        <w:rPr>
          <w:rFonts w:ascii="Calibri" w:hAnsi="Calibri" w:eastAsia="黑体" w:cs="Times New Roman"/>
          <w:b/>
          <w:bCs/>
          <w:color w:val="000000" w:themeColor="text1"/>
          <w:kern w:val="44"/>
          <w:sz w:val="44"/>
          <w:szCs w:val="44"/>
          <w:highlight w:val="none"/>
        </w:rPr>
      </w:pPr>
      <w:r>
        <w:rPr>
          <w:rFonts w:ascii="Calibri" w:hAnsi="Calibri" w:eastAsia="黑体" w:cs="Times New Roman"/>
          <w:b/>
          <w:bCs/>
          <w:color w:val="000000" w:themeColor="text1"/>
          <w:kern w:val="44"/>
          <w:sz w:val="44"/>
          <w:szCs w:val="44"/>
          <w:highlight w:val="none"/>
        </w:rPr>
        <w:t>第六章</w:t>
      </w:r>
      <w:bookmarkEnd w:id="150"/>
      <w:r>
        <w:rPr>
          <w:rFonts w:ascii="Calibri" w:hAnsi="Calibri" w:eastAsia="黑体" w:cs="Times New Roman"/>
          <w:b/>
          <w:bCs/>
          <w:color w:val="000000" w:themeColor="text1"/>
          <w:kern w:val="44"/>
          <w:sz w:val="44"/>
          <w:szCs w:val="44"/>
          <w:highlight w:val="none"/>
        </w:rPr>
        <w:t>　投标文件格式</w:t>
      </w:r>
      <w:bookmarkEnd w:id="151"/>
    </w:p>
    <w:p>
      <w:pPr>
        <w:tabs>
          <w:tab w:val="left" w:pos="6080"/>
          <w:tab w:val="left" w:pos="6640"/>
        </w:tabs>
        <w:autoSpaceDE w:val="0"/>
        <w:autoSpaceDN w:val="0"/>
        <w:adjustRightInd w:val="0"/>
        <w:snapToGrid w:val="0"/>
        <w:spacing w:line="400" w:lineRule="exact"/>
        <w:jc w:val="left"/>
        <w:rPr>
          <w:rFonts w:ascii="Times New Roman" w:hAnsi="Times New Roman" w:eastAsia="宋体" w:cs="Times New Roman"/>
          <w:b/>
          <w:color w:val="000000" w:themeColor="text1"/>
          <w:sz w:val="28"/>
          <w:szCs w:val="24"/>
          <w:highlight w:val="none"/>
        </w:rPr>
      </w:pPr>
      <w:r>
        <w:rPr>
          <w:rFonts w:ascii="Times New Roman" w:hAnsi="Times New Roman" w:eastAsia="宋体" w:cs="Times New Roman"/>
          <w:color w:val="000000" w:themeColor="text1"/>
          <w:highlight w:val="none"/>
        </w:rPr>
        <w:br w:type="page"/>
      </w:r>
      <w:r>
        <w:rPr>
          <w:rFonts w:ascii="Times New Roman" w:hAnsi="Times New Roman" w:eastAsia="宋体" w:cs="Times New Roman"/>
          <w:b/>
          <w:color w:val="000000" w:themeColor="text1"/>
          <w:sz w:val="28"/>
          <w:szCs w:val="24"/>
          <w:highlight w:val="none"/>
        </w:rPr>
        <w:t>项目名称：</w:t>
      </w:r>
    </w:p>
    <w:p>
      <w:pPr>
        <w:tabs>
          <w:tab w:val="left" w:pos="3600"/>
          <w:tab w:val="left" w:pos="4480"/>
          <w:tab w:val="left" w:pos="5360"/>
        </w:tabs>
        <w:autoSpaceDE w:val="0"/>
        <w:autoSpaceDN w:val="0"/>
        <w:adjustRightInd w:val="0"/>
        <w:snapToGrid w:val="0"/>
        <w:spacing w:line="400" w:lineRule="exact"/>
        <w:jc w:val="left"/>
        <w:rPr>
          <w:rFonts w:ascii="Times New Roman" w:hAnsi="Times New Roman" w:eastAsia="宋体" w:cs="Times New Roman"/>
          <w:b/>
          <w:color w:val="000000" w:themeColor="text1"/>
          <w:sz w:val="28"/>
          <w:szCs w:val="24"/>
          <w:highlight w:val="none"/>
        </w:rPr>
      </w:pPr>
    </w:p>
    <w:p>
      <w:pPr>
        <w:tabs>
          <w:tab w:val="left" w:pos="6080"/>
          <w:tab w:val="left" w:pos="6640"/>
        </w:tabs>
        <w:autoSpaceDE w:val="0"/>
        <w:autoSpaceDN w:val="0"/>
        <w:adjustRightInd w:val="0"/>
        <w:snapToGrid w:val="0"/>
        <w:spacing w:line="400" w:lineRule="exact"/>
        <w:jc w:val="right"/>
        <w:rPr>
          <w:rFonts w:ascii="Times New Roman" w:hAnsi="Times New Roman" w:eastAsia="宋体" w:cs="Times New Roman"/>
          <w:b/>
          <w:color w:val="000000" w:themeColor="text1"/>
          <w:sz w:val="28"/>
          <w:szCs w:val="24"/>
          <w:highlight w:val="none"/>
        </w:rPr>
      </w:pPr>
      <w:r>
        <w:rPr>
          <w:rFonts w:ascii="Times New Roman" w:hAnsi="Times New Roman" w:eastAsia="宋体" w:cs="Times New Roman"/>
          <w:b/>
          <w:color w:val="000000" w:themeColor="text1"/>
          <w:sz w:val="28"/>
          <w:szCs w:val="24"/>
          <w:highlight w:val="none"/>
        </w:rPr>
        <w:t>（标注正本或副本处）</w:t>
      </w:r>
    </w:p>
    <w:p>
      <w:pPr>
        <w:tabs>
          <w:tab w:val="left" w:pos="6080"/>
          <w:tab w:val="left" w:pos="6640"/>
        </w:tabs>
        <w:autoSpaceDE w:val="0"/>
        <w:autoSpaceDN w:val="0"/>
        <w:adjustRightInd w:val="0"/>
        <w:snapToGrid w:val="0"/>
        <w:spacing w:line="400" w:lineRule="exact"/>
        <w:jc w:val="right"/>
        <w:rPr>
          <w:rFonts w:ascii="Times New Roman" w:hAnsi="Times New Roman" w:eastAsia="宋体" w:cs="Times New Roman"/>
          <w:b/>
          <w:color w:val="000000" w:themeColor="text1"/>
          <w:sz w:val="28"/>
          <w:szCs w:val="24"/>
          <w:highlight w:val="none"/>
        </w:rPr>
      </w:pPr>
    </w:p>
    <w:p>
      <w:pPr>
        <w:tabs>
          <w:tab w:val="left" w:pos="0"/>
          <w:tab w:val="left" w:pos="851"/>
          <w:tab w:val="left" w:pos="4480"/>
        </w:tabs>
        <w:autoSpaceDE w:val="0"/>
        <w:autoSpaceDN w:val="0"/>
        <w:adjustRightInd w:val="0"/>
        <w:snapToGrid w:val="0"/>
        <w:spacing w:line="840" w:lineRule="exact"/>
        <w:jc w:val="center"/>
        <w:rPr>
          <w:rFonts w:ascii="Times New Roman" w:hAnsi="Times New Roman" w:eastAsia="宋体" w:cs="Times New Roman"/>
          <w:b/>
          <w:color w:val="000000" w:themeColor="text1"/>
          <w:sz w:val="84"/>
          <w:szCs w:val="24"/>
          <w:highlight w:val="none"/>
        </w:rPr>
      </w:pPr>
    </w:p>
    <w:p>
      <w:pPr>
        <w:tabs>
          <w:tab w:val="left" w:pos="0"/>
          <w:tab w:val="left" w:pos="851"/>
          <w:tab w:val="left" w:pos="4480"/>
        </w:tabs>
        <w:autoSpaceDE w:val="0"/>
        <w:autoSpaceDN w:val="0"/>
        <w:adjustRightInd w:val="0"/>
        <w:snapToGrid w:val="0"/>
        <w:spacing w:line="840" w:lineRule="exact"/>
        <w:jc w:val="center"/>
        <w:rPr>
          <w:rFonts w:ascii="Times New Roman" w:hAnsi="Times New Roman" w:eastAsia="宋体" w:cs="Times New Roman"/>
          <w:b/>
          <w:color w:val="000000" w:themeColor="text1"/>
          <w:sz w:val="84"/>
          <w:szCs w:val="24"/>
          <w:highlight w:val="none"/>
        </w:rPr>
      </w:pPr>
      <w:r>
        <w:rPr>
          <w:rFonts w:ascii="Times New Roman" w:hAnsi="Times New Roman" w:eastAsia="宋体" w:cs="Times New Roman"/>
          <w:b/>
          <w:color w:val="000000" w:themeColor="text1"/>
          <w:sz w:val="84"/>
          <w:szCs w:val="24"/>
          <w:highlight w:val="none"/>
        </w:rPr>
        <w:t>投标文件</w:t>
      </w:r>
    </w:p>
    <w:p>
      <w:pPr>
        <w:tabs>
          <w:tab w:val="left" w:pos="0"/>
          <w:tab w:val="left" w:pos="851"/>
          <w:tab w:val="left" w:pos="4480"/>
        </w:tabs>
        <w:autoSpaceDE w:val="0"/>
        <w:autoSpaceDN w:val="0"/>
        <w:adjustRightInd w:val="0"/>
        <w:snapToGrid w:val="0"/>
        <w:spacing w:line="840" w:lineRule="exact"/>
        <w:jc w:val="center"/>
        <w:rPr>
          <w:rFonts w:ascii="Times New Roman" w:hAnsi="Times New Roman" w:eastAsia="宋体" w:cs="Times New Roman"/>
          <w:color w:val="000000" w:themeColor="text1"/>
          <w:sz w:val="32"/>
          <w:szCs w:val="24"/>
          <w:highlight w:val="none"/>
        </w:rPr>
      </w:pPr>
    </w:p>
    <w:p>
      <w:pPr>
        <w:autoSpaceDE w:val="0"/>
        <w:autoSpaceDN w:val="0"/>
        <w:adjustRightInd w:val="0"/>
        <w:snapToGrid w:val="0"/>
        <w:spacing w:line="400" w:lineRule="exact"/>
        <w:jc w:val="left"/>
        <w:rPr>
          <w:rFonts w:ascii="Times New Roman" w:hAnsi="Times New Roman" w:eastAsia="宋体" w:cs="Times New Roman"/>
          <w:color w:val="000000" w:themeColor="text1"/>
          <w:szCs w:val="24"/>
          <w:highlight w:val="none"/>
        </w:rPr>
      </w:pPr>
    </w:p>
    <w:p>
      <w:pPr>
        <w:autoSpaceDE w:val="0"/>
        <w:autoSpaceDN w:val="0"/>
        <w:adjustRightInd w:val="0"/>
        <w:snapToGrid w:val="0"/>
        <w:spacing w:line="400" w:lineRule="exact"/>
        <w:jc w:val="left"/>
        <w:rPr>
          <w:rFonts w:ascii="Times New Roman" w:hAnsi="Times New Roman" w:eastAsia="宋体" w:cs="Times New Roman"/>
          <w:color w:val="000000" w:themeColor="text1"/>
          <w:szCs w:val="24"/>
          <w:highlight w:val="none"/>
        </w:rPr>
      </w:pPr>
    </w:p>
    <w:p>
      <w:pPr>
        <w:autoSpaceDE w:val="0"/>
        <w:autoSpaceDN w:val="0"/>
        <w:adjustRightInd w:val="0"/>
        <w:snapToGrid w:val="0"/>
        <w:spacing w:line="400" w:lineRule="exact"/>
        <w:jc w:val="left"/>
        <w:rPr>
          <w:rFonts w:ascii="Times New Roman" w:hAnsi="Times New Roman" w:eastAsia="宋体" w:cs="Times New Roman"/>
          <w:color w:val="000000" w:themeColor="text1"/>
          <w:szCs w:val="24"/>
          <w:highlight w:val="none"/>
        </w:rPr>
      </w:pPr>
    </w:p>
    <w:p>
      <w:pPr>
        <w:autoSpaceDE w:val="0"/>
        <w:autoSpaceDN w:val="0"/>
        <w:adjustRightInd w:val="0"/>
        <w:snapToGrid w:val="0"/>
        <w:spacing w:line="400" w:lineRule="exact"/>
        <w:jc w:val="left"/>
        <w:rPr>
          <w:rFonts w:ascii="Times New Roman" w:hAnsi="Times New Roman" w:eastAsia="宋体" w:cs="Times New Roman"/>
          <w:color w:val="000000" w:themeColor="text1"/>
          <w:szCs w:val="24"/>
          <w:highlight w:val="none"/>
        </w:rPr>
      </w:pPr>
    </w:p>
    <w:p>
      <w:pPr>
        <w:autoSpaceDE w:val="0"/>
        <w:autoSpaceDN w:val="0"/>
        <w:adjustRightInd w:val="0"/>
        <w:snapToGrid w:val="0"/>
        <w:spacing w:line="400" w:lineRule="exact"/>
        <w:jc w:val="left"/>
        <w:rPr>
          <w:rFonts w:ascii="Times New Roman" w:hAnsi="Times New Roman" w:eastAsia="宋体" w:cs="Times New Roman"/>
          <w:b/>
          <w:color w:val="000000" w:themeColor="text1"/>
          <w:szCs w:val="24"/>
          <w:highlight w:val="none"/>
        </w:rPr>
      </w:pPr>
    </w:p>
    <w:p>
      <w:pPr>
        <w:autoSpaceDE w:val="0"/>
        <w:autoSpaceDN w:val="0"/>
        <w:adjustRightInd w:val="0"/>
        <w:snapToGrid w:val="0"/>
        <w:spacing w:line="400" w:lineRule="exact"/>
        <w:jc w:val="left"/>
        <w:rPr>
          <w:rFonts w:ascii="Times New Roman" w:hAnsi="Times New Roman" w:eastAsia="宋体" w:cs="Times New Roman"/>
          <w:b/>
          <w:color w:val="000000" w:themeColor="text1"/>
          <w:szCs w:val="24"/>
          <w:highlight w:val="none"/>
        </w:rPr>
      </w:pPr>
    </w:p>
    <w:p>
      <w:pPr>
        <w:autoSpaceDE w:val="0"/>
        <w:autoSpaceDN w:val="0"/>
        <w:adjustRightInd w:val="0"/>
        <w:snapToGrid w:val="0"/>
        <w:spacing w:line="400" w:lineRule="exact"/>
        <w:jc w:val="left"/>
        <w:rPr>
          <w:rFonts w:ascii="Times New Roman" w:hAnsi="Times New Roman" w:eastAsia="宋体" w:cs="Times New Roman"/>
          <w:b/>
          <w:color w:val="000000" w:themeColor="text1"/>
          <w:szCs w:val="24"/>
          <w:highlight w:val="none"/>
        </w:rPr>
      </w:pPr>
    </w:p>
    <w:p>
      <w:pPr>
        <w:autoSpaceDE w:val="0"/>
        <w:autoSpaceDN w:val="0"/>
        <w:adjustRightInd w:val="0"/>
        <w:snapToGrid w:val="0"/>
        <w:spacing w:line="400" w:lineRule="exact"/>
        <w:jc w:val="left"/>
        <w:rPr>
          <w:rFonts w:ascii="Times New Roman" w:hAnsi="Times New Roman" w:eastAsia="宋体" w:cs="Times New Roman"/>
          <w:b/>
          <w:color w:val="000000" w:themeColor="text1"/>
          <w:szCs w:val="24"/>
          <w:highlight w:val="none"/>
        </w:rPr>
      </w:pPr>
    </w:p>
    <w:p>
      <w:pPr>
        <w:autoSpaceDE w:val="0"/>
        <w:autoSpaceDN w:val="0"/>
        <w:adjustRightInd w:val="0"/>
        <w:snapToGrid w:val="0"/>
        <w:spacing w:line="400" w:lineRule="exact"/>
        <w:jc w:val="left"/>
        <w:rPr>
          <w:rFonts w:ascii="Times New Roman" w:hAnsi="Times New Roman" w:eastAsia="宋体" w:cs="Times New Roman"/>
          <w:b/>
          <w:color w:val="000000" w:themeColor="text1"/>
          <w:szCs w:val="24"/>
          <w:highlight w:val="none"/>
        </w:rPr>
      </w:pPr>
    </w:p>
    <w:p>
      <w:pPr>
        <w:autoSpaceDE w:val="0"/>
        <w:autoSpaceDN w:val="0"/>
        <w:adjustRightInd w:val="0"/>
        <w:snapToGrid w:val="0"/>
        <w:spacing w:line="400" w:lineRule="exact"/>
        <w:jc w:val="left"/>
        <w:rPr>
          <w:rFonts w:ascii="Times New Roman" w:hAnsi="Times New Roman" w:eastAsia="宋体" w:cs="Times New Roman"/>
          <w:b/>
          <w:color w:val="000000" w:themeColor="text1"/>
          <w:szCs w:val="24"/>
          <w:highlight w:val="none"/>
        </w:rPr>
      </w:pPr>
    </w:p>
    <w:p>
      <w:pPr>
        <w:autoSpaceDE w:val="0"/>
        <w:autoSpaceDN w:val="0"/>
        <w:adjustRightInd w:val="0"/>
        <w:snapToGrid w:val="0"/>
        <w:spacing w:line="400" w:lineRule="exact"/>
        <w:jc w:val="left"/>
        <w:rPr>
          <w:rFonts w:ascii="Times New Roman" w:hAnsi="Times New Roman" w:eastAsia="宋体" w:cs="Times New Roman"/>
          <w:b/>
          <w:color w:val="000000" w:themeColor="text1"/>
          <w:szCs w:val="24"/>
          <w:highlight w:val="none"/>
        </w:rPr>
      </w:pPr>
    </w:p>
    <w:p>
      <w:pPr>
        <w:autoSpaceDE w:val="0"/>
        <w:autoSpaceDN w:val="0"/>
        <w:adjustRightInd w:val="0"/>
        <w:snapToGrid w:val="0"/>
        <w:spacing w:line="400" w:lineRule="exact"/>
        <w:jc w:val="left"/>
        <w:rPr>
          <w:rFonts w:ascii="Times New Roman" w:hAnsi="Times New Roman" w:eastAsia="宋体" w:cs="Times New Roman"/>
          <w:b/>
          <w:color w:val="000000" w:themeColor="text1"/>
          <w:szCs w:val="24"/>
          <w:highlight w:val="none"/>
        </w:rPr>
      </w:pPr>
    </w:p>
    <w:p>
      <w:pPr>
        <w:autoSpaceDE w:val="0"/>
        <w:autoSpaceDN w:val="0"/>
        <w:adjustRightInd w:val="0"/>
        <w:snapToGrid w:val="0"/>
        <w:spacing w:line="400" w:lineRule="exact"/>
        <w:jc w:val="left"/>
        <w:rPr>
          <w:rFonts w:ascii="Times New Roman" w:hAnsi="Times New Roman" w:eastAsia="宋体" w:cs="Times New Roman"/>
          <w:b/>
          <w:color w:val="000000" w:themeColor="text1"/>
          <w:szCs w:val="24"/>
          <w:highlight w:val="none"/>
        </w:rPr>
      </w:pPr>
    </w:p>
    <w:p>
      <w:pPr>
        <w:autoSpaceDE w:val="0"/>
        <w:autoSpaceDN w:val="0"/>
        <w:adjustRightInd w:val="0"/>
        <w:snapToGrid w:val="0"/>
        <w:spacing w:line="400" w:lineRule="exact"/>
        <w:jc w:val="left"/>
        <w:rPr>
          <w:rFonts w:ascii="Times New Roman" w:hAnsi="Times New Roman" w:eastAsia="宋体" w:cs="Times New Roman"/>
          <w:b/>
          <w:color w:val="000000" w:themeColor="text1"/>
          <w:sz w:val="28"/>
          <w:szCs w:val="24"/>
          <w:highlight w:val="none"/>
        </w:rPr>
      </w:pPr>
    </w:p>
    <w:p>
      <w:pPr>
        <w:tabs>
          <w:tab w:val="left" w:pos="6080"/>
          <w:tab w:val="left" w:pos="6640"/>
        </w:tabs>
        <w:autoSpaceDE w:val="0"/>
        <w:autoSpaceDN w:val="0"/>
        <w:adjustRightInd w:val="0"/>
        <w:snapToGrid w:val="0"/>
        <w:spacing w:line="400" w:lineRule="exact"/>
        <w:jc w:val="left"/>
        <w:rPr>
          <w:rFonts w:ascii="Times New Roman" w:hAnsi="Times New Roman" w:eastAsia="宋体" w:cs="Times New Roman"/>
          <w:b/>
          <w:color w:val="000000" w:themeColor="text1"/>
          <w:sz w:val="28"/>
          <w:szCs w:val="24"/>
          <w:highlight w:val="none"/>
        </w:rPr>
      </w:pPr>
      <w:r>
        <w:rPr>
          <w:rFonts w:ascii="Times New Roman" w:hAnsi="Times New Roman" w:eastAsia="宋体" w:cs="Times New Roman"/>
          <w:b/>
          <w:color w:val="000000" w:themeColor="text1"/>
          <w:sz w:val="28"/>
          <w:szCs w:val="24"/>
          <w:highlight w:val="none"/>
        </w:rPr>
        <w:t>投标人全称</w:t>
      </w:r>
      <w:r>
        <w:rPr>
          <w:rFonts w:ascii="Times New Roman" w:hAnsi="Times New Roman" w:eastAsia="宋体" w:cs="Times New Roman"/>
          <w:b/>
          <w:color w:val="000000" w:themeColor="text1"/>
          <w:spacing w:val="1"/>
          <w:sz w:val="28"/>
          <w:szCs w:val="24"/>
          <w:highlight w:val="none"/>
        </w:rPr>
        <w:t>：</w:t>
      </w:r>
      <w:r>
        <w:rPr>
          <w:rFonts w:ascii="Times New Roman" w:hAnsi="Times New Roman" w:eastAsia="宋体" w:cs="Times New Roman"/>
          <w:b/>
          <w:color w:val="000000" w:themeColor="text1"/>
          <w:sz w:val="28"/>
          <w:szCs w:val="24"/>
          <w:highlight w:val="none"/>
        </w:rPr>
        <w:t>（盖单位公章）</w:t>
      </w:r>
    </w:p>
    <w:p>
      <w:pPr>
        <w:tabs>
          <w:tab w:val="left" w:pos="6080"/>
          <w:tab w:val="left" w:pos="6640"/>
        </w:tabs>
        <w:autoSpaceDE w:val="0"/>
        <w:autoSpaceDN w:val="0"/>
        <w:adjustRightInd w:val="0"/>
        <w:snapToGrid w:val="0"/>
        <w:spacing w:line="400" w:lineRule="exact"/>
        <w:jc w:val="left"/>
        <w:rPr>
          <w:rFonts w:ascii="Times New Roman" w:hAnsi="Times New Roman" w:eastAsia="宋体" w:cs="Times New Roman"/>
          <w:b/>
          <w:color w:val="000000" w:themeColor="text1"/>
          <w:sz w:val="28"/>
          <w:szCs w:val="24"/>
          <w:highlight w:val="none"/>
        </w:rPr>
      </w:pPr>
      <w:r>
        <w:rPr>
          <w:rFonts w:ascii="Times New Roman" w:hAnsi="Times New Roman" w:eastAsia="宋体" w:cs="Times New Roman"/>
          <w:b/>
          <w:color w:val="000000" w:themeColor="text1"/>
          <w:sz w:val="28"/>
          <w:szCs w:val="24"/>
          <w:highlight w:val="none"/>
        </w:rPr>
        <w:t>法定代表人或其委托代理人：（签字</w:t>
      </w:r>
      <w:r>
        <w:rPr>
          <w:rFonts w:ascii="Times New Roman" w:hAnsi="Times New Roman" w:eastAsia="宋体" w:cs="Times New Roman"/>
          <w:b/>
          <w:color w:val="000000" w:themeColor="text1"/>
          <w:sz w:val="28"/>
          <w:szCs w:val="21"/>
          <w:highlight w:val="none"/>
        </w:rPr>
        <w:t>或盖章</w:t>
      </w:r>
      <w:r>
        <w:rPr>
          <w:rFonts w:ascii="Times New Roman" w:hAnsi="Times New Roman" w:eastAsia="宋体" w:cs="Times New Roman"/>
          <w:b/>
          <w:color w:val="000000" w:themeColor="text1"/>
          <w:sz w:val="28"/>
          <w:szCs w:val="24"/>
          <w:highlight w:val="none"/>
        </w:rPr>
        <w:t>）</w:t>
      </w:r>
    </w:p>
    <w:p>
      <w:pPr>
        <w:tabs>
          <w:tab w:val="left" w:pos="3280"/>
          <w:tab w:val="left" w:pos="4680"/>
          <w:tab w:val="left" w:pos="6080"/>
        </w:tabs>
        <w:autoSpaceDE w:val="0"/>
        <w:autoSpaceDN w:val="0"/>
        <w:adjustRightInd w:val="0"/>
        <w:snapToGrid w:val="0"/>
        <w:spacing w:line="400" w:lineRule="exact"/>
        <w:jc w:val="left"/>
        <w:rPr>
          <w:rFonts w:ascii="Times New Roman" w:hAnsi="Times New Roman" w:eastAsia="宋体" w:cs="Times New Roman"/>
          <w:b/>
          <w:color w:val="000000" w:themeColor="text1"/>
          <w:sz w:val="28"/>
          <w:szCs w:val="24"/>
          <w:highlight w:val="none"/>
        </w:rPr>
      </w:pPr>
      <w:r>
        <w:rPr>
          <w:rFonts w:ascii="Times New Roman" w:hAnsi="Times New Roman" w:eastAsia="宋体" w:cs="Times New Roman"/>
          <w:b/>
          <w:color w:val="000000" w:themeColor="text1"/>
          <w:sz w:val="28"/>
          <w:szCs w:val="24"/>
          <w:highlight w:val="none"/>
        </w:rPr>
        <w:t>投标人地址：</w:t>
      </w:r>
    </w:p>
    <w:p>
      <w:pPr>
        <w:tabs>
          <w:tab w:val="left" w:pos="3280"/>
          <w:tab w:val="left" w:pos="4680"/>
          <w:tab w:val="left" w:pos="6080"/>
        </w:tabs>
        <w:autoSpaceDE w:val="0"/>
        <w:autoSpaceDN w:val="0"/>
        <w:adjustRightInd w:val="0"/>
        <w:snapToGrid w:val="0"/>
        <w:spacing w:line="400" w:lineRule="exact"/>
        <w:jc w:val="left"/>
        <w:rPr>
          <w:rFonts w:ascii="Times New Roman" w:hAnsi="Times New Roman" w:eastAsia="宋体" w:cs="Times New Roman"/>
          <w:b/>
          <w:color w:val="000000" w:themeColor="text1"/>
          <w:sz w:val="28"/>
          <w:szCs w:val="24"/>
          <w:highlight w:val="none"/>
          <w:u w:val="single"/>
        </w:rPr>
      </w:pPr>
      <w:r>
        <w:rPr>
          <w:rFonts w:ascii="Times New Roman" w:hAnsi="Times New Roman" w:eastAsia="宋体" w:cs="Times New Roman"/>
          <w:b/>
          <w:color w:val="000000" w:themeColor="text1"/>
          <w:sz w:val="28"/>
          <w:szCs w:val="24"/>
          <w:highlight w:val="none"/>
        </w:rPr>
        <w:t>联系电话：</w:t>
      </w:r>
    </w:p>
    <w:p>
      <w:pPr>
        <w:tabs>
          <w:tab w:val="left" w:pos="142"/>
        </w:tabs>
        <w:autoSpaceDE w:val="0"/>
        <w:autoSpaceDN w:val="0"/>
        <w:adjustRightInd w:val="0"/>
        <w:snapToGrid w:val="0"/>
        <w:spacing w:line="400" w:lineRule="exact"/>
        <w:jc w:val="left"/>
        <w:rPr>
          <w:rFonts w:ascii="Times New Roman" w:hAnsi="Times New Roman" w:eastAsia="宋体" w:cs="Times New Roman"/>
          <w:b/>
          <w:color w:val="000000" w:themeColor="text1"/>
          <w:sz w:val="28"/>
          <w:szCs w:val="24"/>
          <w:highlight w:val="none"/>
        </w:rPr>
      </w:pPr>
      <w:r>
        <w:rPr>
          <w:rFonts w:ascii="Times New Roman" w:hAnsi="Times New Roman" w:eastAsia="宋体" w:cs="Times New Roman"/>
          <w:b/>
          <w:color w:val="000000" w:themeColor="text1"/>
          <w:sz w:val="28"/>
          <w:szCs w:val="24"/>
          <w:highlight w:val="none"/>
        </w:rPr>
        <w:t>年月日</w:t>
      </w:r>
    </w:p>
    <w:p>
      <w:pPr>
        <w:spacing w:line="400" w:lineRule="exact"/>
        <w:ind w:firstLine="720" w:firstLineChars="200"/>
        <w:rPr>
          <w:rFonts w:ascii="Times New Roman" w:hAnsi="Times New Roman" w:eastAsia="宋体" w:cs="Times New Roman"/>
          <w:color w:val="000000" w:themeColor="text1"/>
          <w:sz w:val="36"/>
          <w:szCs w:val="24"/>
          <w:highlight w:val="none"/>
        </w:rPr>
      </w:pPr>
    </w:p>
    <w:p>
      <w:pPr>
        <w:spacing w:line="400" w:lineRule="exact"/>
        <w:rPr>
          <w:rFonts w:ascii="Times New Roman" w:hAnsi="Times New Roman" w:eastAsia="宋体" w:cs="Times New Roman"/>
          <w:color w:val="000000" w:themeColor="text1"/>
          <w:sz w:val="36"/>
          <w:szCs w:val="24"/>
          <w:highlight w:val="none"/>
        </w:rPr>
      </w:pPr>
      <w:r>
        <w:rPr>
          <w:rFonts w:ascii="Times New Roman" w:hAnsi="Times New Roman" w:eastAsia="宋体" w:cs="Times New Roman"/>
          <w:color w:val="000000" w:themeColor="text1"/>
          <w:sz w:val="24"/>
          <w:szCs w:val="24"/>
          <w:highlight w:val="none"/>
        </w:rPr>
        <w:br w:type="page"/>
      </w:r>
    </w:p>
    <w:p>
      <w:pPr>
        <w:tabs>
          <w:tab w:val="left" w:pos="142"/>
        </w:tabs>
        <w:autoSpaceDE w:val="0"/>
        <w:autoSpaceDN w:val="0"/>
        <w:adjustRightInd w:val="0"/>
        <w:snapToGrid w:val="0"/>
        <w:spacing w:line="400" w:lineRule="exact"/>
        <w:jc w:val="center"/>
        <w:rPr>
          <w:rFonts w:ascii="Times New Roman" w:hAnsi="Times New Roman" w:eastAsia="宋体" w:cs="Times New Roman"/>
          <w:b/>
          <w:color w:val="000000" w:themeColor="text1"/>
          <w:sz w:val="28"/>
          <w:szCs w:val="28"/>
          <w:highlight w:val="none"/>
        </w:rPr>
      </w:pPr>
      <w:r>
        <w:rPr>
          <w:rFonts w:ascii="Times New Roman" w:hAnsi="Times New Roman" w:eastAsia="宋体" w:cs="Times New Roman"/>
          <w:b/>
          <w:color w:val="000000" w:themeColor="text1"/>
          <w:sz w:val="28"/>
          <w:szCs w:val="28"/>
          <w:highlight w:val="none"/>
        </w:rPr>
        <w:t>目录</w:t>
      </w:r>
    </w:p>
    <w:p>
      <w:pPr>
        <w:tabs>
          <w:tab w:val="left" w:pos="142"/>
        </w:tabs>
        <w:autoSpaceDE w:val="0"/>
        <w:autoSpaceDN w:val="0"/>
        <w:adjustRightInd w:val="0"/>
        <w:snapToGrid w:val="0"/>
        <w:spacing w:line="400" w:lineRule="exact"/>
        <w:jc w:val="left"/>
        <w:rPr>
          <w:rFonts w:ascii="Times New Roman" w:hAnsi="Times New Roman" w:eastAsia="宋体" w:cs="Times New Roman"/>
          <w:b/>
          <w:color w:val="000000" w:themeColor="text1"/>
          <w:sz w:val="28"/>
          <w:szCs w:val="28"/>
          <w:highlight w:val="none"/>
        </w:rPr>
      </w:pPr>
      <w:r>
        <w:rPr>
          <w:rFonts w:ascii="Times New Roman" w:hAnsi="Times New Roman" w:eastAsia="宋体" w:cs="Times New Roman"/>
          <w:b/>
          <w:color w:val="000000" w:themeColor="text1"/>
          <w:sz w:val="28"/>
          <w:szCs w:val="28"/>
          <w:highlight w:val="none"/>
        </w:rPr>
        <w:t>（投标人自拟）</w:t>
      </w:r>
    </w:p>
    <w:p>
      <w:pPr>
        <w:spacing w:line="400" w:lineRule="exact"/>
        <w:ind w:firstLine="720" w:firstLineChars="200"/>
        <w:rPr>
          <w:rFonts w:ascii="Times New Roman" w:hAnsi="Times New Roman" w:eastAsia="宋体" w:cs="Times New Roman"/>
          <w:color w:val="000000" w:themeColor="text1"/>
          <w:sz w:val="36"/>
          <w:szCs w:val="24"/>
          <w:highlight w:val="none"/>
        </w:rPr>
      </w:pPr>
    </w:p>
    <w:p>
      <w:pPr>
        <w:spacing w:line="400" w:lineRule="exact"/>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36"/>
          <w:szCs w:val="24"/>
          <w:highlight w:val="none"/>
        </w:rPr>
        <w:br w:type="page"/>
      </w:r>
    </w:p>
    <w:p>
      <w:pPr>
        <w:tabs>
          <w:tab w:val="left" w:pos="142"/>
        </w:tabs>
        <w:autoSpaceDE w:val="0"/>
        <w:autoSpaceDN w:val="0"/>
        <w:adjustRightInd w:val="0"/>
        <w:snapToGrid w:val="0"/>
        <w:spacing w:line="400" w:lineRule="exact"/>
        <w:jc w:val="left"/>
        <w:rPr>
          <w:rFonts w:ascii="Times New Roman" w:hAnsi="Times New Roman" w:eastAsia="宋体" w:cs="Times New Roman"/>
          <w:b/>
          <w:color w:val="000000" w:themeColor="text1"/>
          <w:szCs w:val="28"/>
          <w:highlight w:val="none"/>
        </w:rPr>
      </w:pPr>
    </w:p>
    <w:p>
      <w:pPr>
        <w:tabs>
          <w:tab w:val="left" w:pos="142"/>
        </w:tabs>
        <w:autoSpaceDE w:val="0"/>
        <w:autoSpaceDN w:val="0"/>
        <w:adjustRightInd w:val="0"/>
        <w:snapToGrid w:val="0"/>
        <w:spacing w:line="400" w:lineRule="exact"/>
        <w:jc w:val="left"/>
        <w:rPr>
          <w:rFonts w:ascii="Times New Roman" w:hAnsi="Times New Roman" w:eastAsia="宋体" w:cs="Times New Roman"/>
          <w:b/>
          <w:color w:val="000000" w:themeColor="text1"/>
          <w:szCs w:val="28"/>
          <w:highlight w:val="none"/>
        </w:rPr>
      </w:pPr>
    </w:p>
    <w:p>
      <w:pPr>
        <w:spacing w:line="400" w:lineRule="exact"/>
        <w:jc w:val="center"/>
        <w:rPr>
          <w:rFonts w:ascii="Times New Roman" w:hAnsi="Times New Roman" w:eastAsia="宋体" w:cs="Times New Roman"/>
          <w:b/>
          <w:color w:val="000000" w:themeColor="text1"/>
          <w:sz w:val="44"/>
          <w:szCs w:val="44"/>
          <w:highlight w:val="none"/>
        </w:rPr>
      </w:pPr>
      <w:bookmarkStart w:id="152" w:name="_Toc354044647"/>
    </w:p>
    <w:p>
      <w:pPr>
        <w:spacing w:line="400" w:lineRule="exact"/>
        <w:jc w:val="center"/>
        <w:outlineLvl w:val="1"/>
        <w:rPr>
          <w:rFonts w:ascii="Times New Roman" w:hAnsi="Times New Roman" w:eastAsia="宋体" w:cs="Times New Roman"/>
          <w:b/>
          <w:color w:val="000000" w:themeColor="text1"/>
          <w:sz w:val="44"/>
          <w:szCs w:val="44"/>
          <w:highlight w:val="none"/>
        </w:rPr>
      </w:pPr>
      <w:bookmarkStart w:id="153" w:name="_Toc23062"/>
      <w:r>
        <w:rPr>
          <w:rFonts w:ascii="Times New Roman" w:hAnsi="Times New Roman" w:eastAsia="宋体" w:cs="Times New Roman"/>
          <w:b/>
          <w:color w:val="000000" w:themeColor="text1"/>
          <w:sz w:val="44"/>
          <w:szCs w:val="44"/>
          <w:highlight w:val="none"/>
        </w:rPr>
        <w:t>A：投标函</w:t>
      </w:r>
      <w:bookmarkEnd w:id="152"/>
      <w:r>
        <w:rPr>
          <w:rFonts w:ascii="Times New Roman" w:hAnsi="Times New Roman" w:eastAsia="宋体" w:cs="Times New Roman"/>
          <w:b/>
          <w:color w:val="000000" w:themeColor="text1"/>
          <w:sz w:val="44"/>
          <w:szCs w:val="44"/>
          <w:highlight w:val="none"/>
        </w:rPr>
        <w:t>部分</w:t>
      </w:r>
      <w:bookmarkEnd w:id="153"/>
    </w:p>
    <w:p>
      <w:pPr>
        <w:spacing w:line="400" w:lineRule="exact"/>
        <w:ind w:firstLine="420" w:firstLineChars="200"/>
        <w:jc w:val="center"/>
        <w:rPr>
          <w:rFonts w:ascii="Times New Roman" w:hAnsi="Times New Roman" w:eastAsia="宋体" w:cs="Times New Roman"/>
          <w:b/>
          <w:color w:val="000000" w:themeColor="text1"/>
          <w:sz w:val="32"/>
          <w:szCs w:val="32"/>
          <w:highlight w:val="none"/>
        </w:rPr>
      </w:pPr>
      <w:r>
        <w:rPr>
          <w:rFonts w:ascii="Times New Roman" w:hAnsi="Times New Roman" w:eastAsia="宋体" w:cs="Times New Roman"/>
          <w:color w:val="000000" w:themeColor="text1"/>
          <w:highlight w:val="none"/>
        </w:rPr>
        <w:br w:type="page"/>
      </w:r>
      <w:bookmarkStart w:id="154" w:name="_Toc11061"/>
      <w:r>
        <w:rPr>
          <w:rFonts w:ascii="Times New Roman" w:hAnsi="Times New Roman" w:eastAsia="宋体" w:cs="Times New Roman"/>
          <w:b/>
          <w:color w:val="000000" w:themeColor="text1"/>
          <w:sz w:val="32"/>
          <w:szCs w:val="32"/>
          <w:highlight w:val="none"/>
        </w:rPr>
        <w:t>1.投标函</w:t>
      </w:r>
      <w:bookmarkEnd w:id="154"/>
    </w:p>
    <w:p>
      <w:pPr>
        <w:spacing w:line="400" w:lineRule="exact"/>
        <w:jc w:val="left"/>
        <w:rPr>
          <w:rFonts w:ascii="Times New Roman" w:hAnsi="Times New Roman" w:eastAsia="宋体" w:cs="Times New Roman"/>
          <w:color w:val="000000" w:themeColor="text1"/>
          <w:sz w:val="24"/>
          <w:szCs w:val="21"/>
          <w:highlight w:val="none"/>
        </w:rPr>
      </w:pPr>
    </w:p>
    <w:p>
      <w:pPr>
        <w:spacing w:line="400" w:lineRule="exact"/>
        <w:jc w:val="left"/>
        <w:rPr>
          <w:rFonts w:ascii="Times New Roman" w:hAnsi="Times New Roman" w:eastAsia="宋体" w:cs="Times New Roman"/>
          <w:b/>
          <w:color w:val="000000" w:themeColor="text1"/>
          <w:sz w:val="24"/>
          <w:szCs w:val="21"/>
          <w:highlight w:val="none"/>
        </w:rPr>
      </w:pPr>
    </w:p>
    <w:p>
      <w:pPr>
        <w:spacing w:line="400" w:lineRule="exact"/>
        <w:ind w:firstLine="643" w:firstLineChars="200"/>
        <w:jc w:val="center"/>
        <w:rPr>
          <w:rFonts w:ascii="Times New Roman" w:hAnsi="Times New Roman" w:eastAsia="宋体" w:cs="Times New Roman"/>
          <w:b/>
          <w:color w:val="000000" w:themeColor="text1"/>
          <w:sz w:val="32"/>
          <w:szCs w:val="32"/>
          <w:highlight w:val="none"/>
        </w:rPr>
      </w:pPr>
    </w:p>
    <w:p>
      <w:pPr>
        <w:tabs>
          <w:tab w:val="left" w:pos="6300"/>
        </w:tabs>
        <w:snapToGrid w:val="0"/>
        <w:spacing w:line="400" w:lineRule="exact"/>
        <w:rPr>
          <w:rFonts w:ascii="Times New Roman" w:hAnsi="Times New Roman" w:eastAsia="宋体" w:cs="Times New Roman"/>
          <w:color w:val="000000" w:themeColor="text1"/>
          <w:sz w:val="24"/>
          <w:szCs w:val="21"/>
          <w:highlight w:val="none"/>
        </w:rPr>
      </w:pPr>
      <w:r>
        <w:rPr>
          <w:rFonts w:ascii="Times New Roman" w:hAnsi="Times New Roman" w:eastAsia="宋体" w:cs="Times New Roman"/>
          <w:color w:val="000000" w:themeColor="text1"/>
          <w:sz w:val="24"/>
          <w:szCs w:val="21"/>
          <w:highlight w:val="none"/>
          <w:u w:val="single"/>
        </w:rPr>
        <w:t>致：（招标人）</w:t>
      </w:r>
    </w:p>
    <w:p>
      <w:pPr>
        <w:tabs>
          <w:tab w:val="left" w:pos="6300"/>
        </w:tabs>
        <w:snapToGrid w:val="0"/>
        <w:spacing w:line="400" w:lineRule="exact"/>
        <w:ind w:firstLine="570"/>
        <w:rPr>
          <w:rFonts w:ascii="Times New Roman" w:hAnsi="Times New Roman" w:eastAsia="宋体" w:cs="Times New Roman"/>
          <w:color w:val="000000" w:themeColor="text1"/>
          <w:sz w:val="24"/>
          <w:szCs w:val="21"/>
          <w:highlight w:val="none"/>
        </w:rPr>
      </w:pPr>
      <w:r>
        <w:rPr>
          <w:rFonts w:ascii="Times New Roman" w:hAnsi="Times New Roman" w:eastAsia="宋体" w:cs="Times New Roman"/>
          <w:color w:val="000000" w:themeColor="text1"/>
          <w:sz w:val="24"/>
          <w:szCs w:val="21"/>
          <w:highlight w:val="none"/>
        </w:rPr>
        <w:t>我方收到____________________________（项目名称）的招标文件，经详细研究，决定参加该项目的投标。</w:t>
      </w:r>
    </w:p>
    <w:p>
      <w:pPr>
        <w:tabs>
          <w:tab w:val="left" w:pos="6300"/>
        </w:tabs>
        <w:snapToGrid w:val="0"/>
        <w:spacing w:line="400" w:lineRule="exact"/>
        <w:ind w:left="80" w:leftChars="38" w:firstLine="600" w:firstLineChars="250"/>
        <w:rPr>
          <w:rFonts w:ascii="Times New Roman" w:hAnsi="Times New Roman" w:eastAsia="宋体" w:cs="Times New Roman"/>
          <w:color w:val="000000" w:themeColor="text1"/>
          <w:sz w:val="24"/>
          <w:szCs w:val="21"/>
          <w:highlight w:val="none"/>
        </w:rPr>
      </w:pPr>
      <w:r>
        <w:rPr>
          <w:rFonts w:ascii="Times New Roman" w:hAnsi="Times New Roman" w:eastAsia="宋体" w:cs="Times New Roman"/>
          <w:color w:val="000000" w:themeColor="text1"/>
          <w:sz w:val="24"/>
          <w:szCs w:val="21"/>
          <w:highlight w:val="none"/>
        </w:rPr>
        <w:t>1、愿意按照招标文件中的一切要求，提供完成本项目的所有服务工作，投标总报价（整体包干价）为人民币大写：</w:t>
      </w:r>
      <w:r>
        <w:rPr>
          <w:rFonts w:hint="eastAsia" w:ascii="Times New Roman" w:hAnsi="Times New Roman" w:eastAsia="宋体" w:cs="Times New Roman"/>
          <w:color w:val="000000" w:themeColor="text1"/>
          <w:sz w:val="24"/>
          <w:szCs w:val="21"/>
          <w:highlight w:val="none"/>
          <w:u w:val="single"/>
        </w:rPr>
        <w:t xml:space="preserve">                  </w:t>
      </w:r>
      <w:r>
        <w:rPr>
          <w:rFonts w:hint="eastAsia" w:ascii="Times New Roman" w:hAnsi="Times New Roman" w:eastAsia="宋体" w:cs="Times New Roman"/>
          <w:color w:val="000000" w:themeColor="text1"/>
          <w:sz w:val="24"/>
          <w:szCs w:val="21"/>
          <w:highlight w:val="none"/>
        </w:rPr>
        <w:t>，</w:t>
      </w:r>
      <w:r>
        <w:rPr>
          <w:rFonts w:ascii="Times New Roman" w:hAnsi="Times New Roman" w:eastAsia="宋体" w:cs="Times New Roman"/>
          <w:color w:val="000000" w:themeColor="text1"/>
          <w:sz w:val="24"/>
          <w:szCs w:val="21"/>
          <w:highlight w:val="none"/>
        </w:rPr>
        <w:t>人民币小写：</w:t>
      </w:r>
      <w:r>
        <w:rPr>
          <w:rFonts w:hint="eastAsia" w:ascii="Times New Roman" w:hAnsi="Times New Roman" w:eastAsia="宋体" w:cs="Times New Roman"/>
          <w:color w:val="000000" w:themeColor="text1"/>
          <w:sz w:val="24"/>
          <w:szCs w:val="21"/>
          <w:highlight w:val="none"/>
          <w:u w:val="single"/>
        </w:rPr>
        <w:t xml:space="preserve">                  </w:t>
      </w:r>
      <w:r>
        <w:rPr>
          <w:rFonts w:ascii="Times New Roman" w:hAnsi="Times New Roman" w:eastAsia="宋体" w:cs="Times New Roman"/>
          <w:color w:val="000000" w:themeColor="text1"/>
          <w:sz w:val="24"/>
          <w:szCs w:val="21"/>
          <w:highlight w:val="none"/>
        </w:rPr>
        <w:t>。</w:t>
      </w:r>
    </w:p>
    <w:p>
      <w:pPr>
        <w:tabs>
          <w:tab w:val="left" w:pos="6300"/>
        </w:tabs>
        <w:snapToGrid w:val="0"/>
        <w:spacing w:line="400" w:lineRule="exact"/>
        <w:ind w:firstLine="570"/>
        <w:rPr>
          <w:rFonts w:ascii="Times New Roman" w:hAnsi="Times New Roman" w:eastAsia="宋体" w:cs="Times New Roman"/>
          <w:color w:val="000000" w:themeColor="text1"/>
          <w:sz w:val="24"/>
          <w:szCs w:val="21"/>
          <w:highlight w:val="none"/>
        </w:rPr>
      </w:pPr>
      <w:r>
        <w:rPr>
          <w:rFonts w:ascii="Times New Roman" w:hAnsi="Times New Roman" w:eastAsia="宋体" w:cs="Times New Roman"/>
          <w:color w:val="000000" w:themeColor="text1"/>
          <w:sz w:val="24"/>
          <w:szCs w:val="21"/>
          <w:highlight w:val="none"/>
        </w:rPr>
        <w:t>2、我们现提交的投标文件：正本</w:t>
      </w:r>
      <w:r>
        <w:rPr>
          <w:rFonts w:hint="eastAsia" w:ascii="Times New Roman" w:hAnsi="Times New Roman" w:eastAsia="宋体" w:cs="Times New Roman"/>
          <w:color w:val="000000" w:themeColor="text1"/>
          <w:sz w:val="24"/>
          <w:szCs w:val="21"/>
          <w:highlight w:val="none"/>
          <w:u w:val="single"/>
        </w:rPr>
        <w:t xml:space="preserve"> 1  </w:t>
      </w:r>
      <w:r>
        <w:rPr>
          <w:rFonts w:ascii="Times New Roman" w:hAnsi="Times New Roman" w:eastAsia="宋体" w:cs="Times New Roman"/>
          <w:color w:val="000000" w:themeColor="text1"/>
          <w:sz w:val="24"/>
          <w:szCs w:val="21"/>
          <w:highlight w:val="none"/>
        </w:rPr>
        <w:t>份，副本</w:t>
      </w:r>
      <w:r>
        <w:rPr>
          <w:rFonts w:hint="eastAsia" w:ascii="Times New Roman" w:hAnsi="Times New Roman" w:eastAsia="宋体" w:cs="Times New Roman"/>
          <w:color w:val="000000" w:themeColor="text1"/>
          <w:sz w:val="24"/>
          <w:szCs w:val="21"/>
          <w:highlight w:val="none"/>
          <w:u w:val="single"/>
        </w:rPr>
        <w:t xml:space="preserve"> 1 </w:t>
      </w:r>
      <w:r>
        <w:rPr>
          <w:rFonts w:ascii="Times New Roman" w:hAnsi="Times New Roman" w:eastAsia="宋体" w:cs="Times New Roman"/>
          <w:color w:val="000000" w:themeColor="text1"/>
          <w:sz w:val="24"/>
          <w:szCs w:val="21"/>
          <w:highlight w:val="none"/>
        </w:rPr>
        <w:t>份，电子文本</w:t>
      </w:r>
      <w:r>
        <w:rPr>
          <w:rFonts w:hint="eastAsia" w:ascii="Times New Roman" w:hAnsi="Times New Roman" w:eastAsia="宋体" w:cs="Times New Roman"/>
          <w:color w:val="000000" w:themeColor="text1"/>
          <w:sz w:val="24"/>
          <w:szCs w:val="21"/>
          <w:highlight w:val="none"/>
          <w:u w:val="single"/>
        </w:rPr>
        <w:t xml:space="preserve"> 2 </w:t>
      </w:r>
      <w:r>
        <w:rPr>
          <w:rFonts w:ascii="Times New Roman" w:hAnsi="Times New Roman" w:eastAsia="宋体" w:cs="Times New Roman"/>
          <w:color w:val="000000" w:themeColor="text1"/>
          <w:sz w:val="24"/>
          <w:szCs w:val="21"/>
          <w:highlight w:val="none"/>
        </w:rPr>
        <w:t>份。</w:t>
      </w:r>
    </w:p>
    <w:p>
      <w:pPr>
        <w:spacing w:line="400" w:lineRule="exact"/>
        <w:ind w:firstLine="555"/>
        <w:rPr>
          <w:rFonts w:ascii="Times New Roman" w:hAnsi="Times New Roman" w:eastAsia="宋体" w:cs="Times New Roman"/>
          <w:color w:val="000000" w:themeColor="text1"/>
          <w:sz w:val="24"/>
          <w:szCs w:val="21"/>
          <w:highlight w:val="none"/>
        </w:rPr>
      </w:pPr>
      <w:r>
        <w:rPr>
          <w:rFonts w:ascii="Times New Roman" w:hAnsi="Times New Roman" w:eastAsia="宋体" w:cs="Times New Roman"/>
          <w:color w:val="000000" w:themeColor="text1"/>
          <w:sz w:val="24"/>
          <w:szCs w:val="21"/>
          <w:highlight w:val="none"/>
        </w:rPr>
        <w:t>3、我们完全理解和接受贵方招标文件的一切规定和要求，完全答应招标文件中规定的所有条件和评审办法。</w:t>
      </w:r>
    </w:p>
    <w:p>
      <w:pPr>
        <w:spacing w:line="400" w:lineRule="exact"/>
        <w:ind w:firstLine="555"/>
        <w:rPr>
          <w:rFonts w:ascii="Times New Roman" w:hAnsi="Times New Roman" w:eastAsia="宋体" w:cs="Times New Roman"/>
          <w:color w:val="000000" w:themeColor="text1"/>
          <w:sz w:val="24"/>
          <w:szCs w:val="21"/>
          <w:highlight w:val="none"/>
        </w:rPr>
      </w:pPr>
      <w:r>
        <w:rPr>
          <w:rFonts w:ascii="Times New Roman" w:hAnsi="Times New Roman" w:eastAsia="宋体" w:cs="Times New Roman"/>
          <w:color w:val="000000" w:themeColor="text1"/>
          <w:sz w:val="24"/>
          <w:szCs w:val="21"/>
          <w:highlight w:val="none"/>
        </w:rPr>
        <w:t>4、在整个投标过程中，我方若有违规行为，贵方可按《中华人民共和招标投标法》等法律法规和《招标文件》之规定给予惩罚，我方完全接受。</w:t>
      </w:r>
    </w:p>
    <w:p>
      <w:pPr>
        <w:spacing w:line="400" w:lineRule="exact"/>
        <w:ind w:firstLine="555"/>
        <w:rPr>
          <w:rFonts w:ascii="Times New Roman" w:hAnsi="Times New Roman" w:eastAsia="宋体" w:cs="Times New Roman"/>
          <w:color w:val="000000" w:themeColor="text1"/>
          <w:sz w:val="24"/>
          <w:szCs w:val="21"/>
          <w:highlight w:val="none"/>
        </w:rPr>
      </w:pPr>
      <w:r>
        <w:rPr>
          <w:rFonts w:ascii="Times New Roman" w:hAnsi="Times New Roman" w:eastAsia="宋体" w:cs="Times New Roman"/>
          <w:color w:val="000000" w:themeColor="text1"/>
          <w:sz w:val="24"/>
          <w:szCs w:val="21"/>
          <w:highlight w:val="none"/>
        </w:rPr>
        <w:t>5、若我们成为中标人，我方将按照评标结果签订合同，并且严格履行合同义务。本投标函将成为合同不可分割的一部分，与合同具有同等的法律效力。</w:t>
      </w:r>
    </w:p>
    <w:p>
      <w:pPr>
        <w:spacing w:line="400" w:lineRule="exact"/>
        <w:ind w:firstLine="555"/>
        <w:rPr>
          <w:rFonts w:ascii="Times New Roman" w:hAnsi="Times New Roman" w:eastAsia="宋体" w:cs="Times New Roman"/>
          <w:color w:val="000000" w:themeColor="text1"/>
          <w:sz w:val="24"/>
          <w:szCs w:val="21"/>
          <w:highlight w:val="none"/>
        </w:rPr>
      </w:pPr>
      <w:r>
        <w:rPr>
          <w:rFonts w:ascii="Times New Roman" w:hAnsi="Times New Roman" w:eastAsia="宋体" w:cs="Times New Roman"/>
          <w:color w:val="000000" w:themeColor="text1"/>
          <w:sz w:val="24"/>
          <w:szCs w:val="21"/>
          <w:highlight w:val="none"/>
        </w:rPr>
        <w:t>6、我方同意按招标文件规定，交纳招标文件要求的投标保证金。如果我方成为中标人，保证在接到中标通知书时，向招标代理机构</w:t>
      </w:r>
      <w:r>
        <w:rPr>
          <w:rFonts w:hint="eastAsia" w:ascii="Times New Roman" w:hAnsi="Times New Roman" w:eastAsia="宋体" w:cs="Times New Roman"/>
          <w:color w:val="000000" w:themeColor="text1"/>
          <w:sz w:val="24"/>
          <w:szCs w:val="21"/>
          <w:highlight w:val="none"/>
        </w:rPr>
        <w:t>缴纳</w:t>
      </w:r>
      <w:r>
        <w:rPr>
          <w:rFonts w:ascii="Times New Roman" w:hAnsi="Times New Roman" w:eastAsia="宋体" w:cs="Times New Roman"/>
          <w:color w:val="000000" w:themeColor="text1"/>
          <w:sz w:val="24"/>
          <w:szCs w:val="21"/>
          <w:highlight w:val="none"/>
        </w:rPr>
        <w:t>采购代理服务费。</w:t>
      </w:r>
    </w:p>
    <w:p>
      <w:pPr>
        <w:spacing w:line="400" w:lineRule="exact"/>
        <w:ind w:firstLine="555"/>
        <w:rPr>
          <w:rFonts w:ascii="Times New Roman" w:hAnsi="Times New Roman" w:eastAsia="宋体" w:cs="Times New Roman"/>
          <w:color w:val="000000" w:themeColor="text1"/>
          <w:sz w:val="24"/>
          <w:szCs w:val="21"/>
          <w:highlight w:val="none"/>
        </w:rPr>
      </w:pPr>
      <w:r>
        <w:rPr>
          <w:rFonts w:ascii="Times New Roman" w:hAnsi="Times New Roman" w:eastAsia="宋体" w:cs="Times New Roman"/>
          <w:color w:val="000000" w:themeColor="text1"/>
          <w:sz w:val="24"/>
          <w:szCs w:val="21"/>
          <w:highlight w:val="none"/>
        </w:rPr>
        <w:t>7、投标有效期为90日</w:t>
      </w:r>
      <w:r>
        <w:rPr>
          <w:rFonts w:hint="eastAsia" w:ascii="Times New Roman" w:hAnsi="Times New Roman" w:eastAsia="宋体" w:cs="Times New Roman"/>
          <w:color w:val="000000" w:themeColor="text1"/>
          <w:sz w:val="24"/>
          <w:szCs w:val="21"/>
          <w:highlight w:val="none"/>
        </w:rPr>
        <w:t>。</w:t>
      </w:r>
    </w:p>
    <w:p>
      <w:pPr>
        <w:tabs>
          <w:tab w:val="left" w:pos="6300"/>
        </w:tabs>
        <w:snapToGrid w:val="0"/>
        <w:spacing w:line="400" w:lineRule="exact"/>
        <w:ind w:firstLine="570"/>
        <w:rPr>
          <w:rFonts w:ascii="Times New Roman" w:hAnsi="Times New Roman" w:eastAsia="宋体" w:cs="Times New Roman"/>
          <w:color w:val="000000" w:themeColor="text1"/>
          <w:sz w:val="24"/>
          <w:szCs w:val="21"/>
          <w:highlight w:val="none"/>
        </w:rPr>
      </w:pPr>
    </w:p>
    <w:p>
      <w:pPr>
        <w:tabs>
          <w:tab w:val="left" w:pos="6300"/>
        </w:tabs>
        <w:snapToGrid w:val="0"/>
        <w:spacing w:line="400" w:lineRule="exact"/>
        <w:ind w:firstLine="570"/>
        <w:rPr>
          <w:rFonts w:ascii="Times New Roman" w:hAnsi="Times New Roman" w:eastAsia="宋体" w:cs="Times New Roman"/>
          <w:b/>
          <w:color w:val="000000" w:themeColor="text1"/>
          <w:sz w:val="24"/>
          <w:szCs w:val="21"/>
          <w:highlight w:val="none"/>
        </w:rPr>
      </w:pPr>
      <w:r>
        <w:rPr>
          <w:rFonts w:ascii="Times New Roman" w:hAnsi="Times New Roman" w:eastAsia="宋体" w:cs="Times New Roman"/>
          <w:b/>
          <w:color w:val="000000" w:themeColor="text1"/>
          <w:sz w:val="24"/>
          <w:szCs w:val="21"/>
          <w:highlight w:val="none"/>
        </w:rPr>
        <w:t>投标人（公章）：</w:t>
      </w:r>
    </w:p>
    <w:p>
      <w:pPr>
        <w:spacing w:line="400" w:lineRule="exact"/>
        <w:ind w:firstLine="602" w:firstLineChars="250"/>
        <w:rPr>
          <w:rFonts w:ascii="Times New Roman" w:hAnsi="Times New Roman" w:eastAsia="宋体" w:cs="Times New Roman"/>
          <w:b/>
          <w:color w:val="000000" w:themeColor="text1"/>
          <w:sz w:val="24"/>
          <w:szCs w:val="21"/>
          <w:highlight w:val="none"/>
        </w:rPr>
      </w:pPr>
      <w:r>
        <w:rPr>
          <w:rFonts w:ascii="Times New Roman" w:hAnsi="Times New Roman" w:eastAsia="宋体" w:cs="Times New Roman"/>
          <w:b/>
          <w:color w:val="000000" w:themeColor="text1"/>
          <w:sz w:val="24"/>
          <w:szCs w:val="21"/>
          <w:highlight w:val="none"/>
        </w:rPr>
        <w:t>法定代表人或其委托代理人：（盖章或签字）</w:t>
      </w:r>
    </w:p>
    <w:p>
      <w:pPr>
        <w:tabs>
          <w:tab w:val="left" w:pos="6300"/>
        </w:tabs>
        <w:snapToGrid w:val="0"/>
        <w:spacing w:line="400" w:lineRule="exact"/>
        <w:ind w:firstLine="570"/>
        <w:rPr>
          <w:rFonts w:ascii="Times New Roman" w:hAnsi="Times New Roman" w:eastAsia="宋体" w:cs="Times New Roman"/>
          <w:color w:val="000000" w:themeColor="text1"/>
          <w:sz w:val="24"/>
          <w:szCs w:val="21"/>
          <w:highlight w:val="none"/>
        </w:rPr>
      </w:pPr>
      <w:r>
        <w:rPr>
          <w:rFonts w:ascii="Times New Roman" w:hAnsi="Times New Roman" w:eastAsia="宋体" w:cs="Times New Roman"/>
          <w:color w:val="000000" w:themeColor="text1"/>
          <w:sz w:val="24"/>
          <w:szCs w:val="21"/>
          <w:highlight w:val="none"/>
        </w:rPr>
        <w:t>地址：</w:t>
      </w:r>
    </w:p>
    <w:p>
      <w:pPr>
        <w:tabs>
          <w:tab w:val="left" w:pos="6300"/>
        </w:tabs>
        <w:snapToGrid w:val="0"/>
        <w:spacing w:line="400" w:lineRule="exact"/>
        <w:ind w:firstLine="570"/>
        <w:rPr>
          <w:rFonts w:ascii="Times New Roman" w:hAnsi="Times New Roman" w:eastAsia="宋体" w:cs="Times New Roman"/>
          <w:color w:val="000000" w:themeColor="text1"/>
          <w:sz w:val="24"/>
          <w:szCs w:val="21"/>
          <w:highlight w:val="none"/>
        </w:rPr>
      </w:pPr>
      <w:r>
        <w:rPr>
          <w:rFonts w:ascii="Times New Roman" w:hAnsi="Times New Roman" w:eastAsia="宋体" w:cs="Times New Roman"/>
          <w:color w:val="000000" w:themeColor="text1"/>
          <w:sz w:val="24"/>
          <w:szCs w:val="21"/>
          <w:highlight w:val="none"/>
        </w:rPr>
        <w:t>电话：</w:t>
      </w:r>
      <w:r>
        <w:rPr>
          <w:rFonts w:hint="eastAsia" w:ascii="Times New Roman" w:hAnsi="Times New Roman" w:eastAsia="宋体" w:cs="Times New Roman"/>
          <w:color w:val="000000" w:themeColor="text1"/>
          <w:sz w:val="24"/>
          <w:szCs w:val="21"/>
          <w:highlight w:val="none"/>
        </w:rPr>
        <w:t xml:space="preserve">                            </w:t>
      </w:r>
      <w:r>
        <w:rPr>
          <w:rFonts w:ascii="Times New Roman" w:hAnsi="Times New Roman" w:eastAsia="宋体" w:cs="Times New Roman"/>
          <w:color w:val="000000" w:themeColor="text1"/>
          <w:sz w:val="24"/>
          <w:szCs w:val="21"/>
          <w:highlight w:val="none"/>
        </w:rPr>
        <w:t>传真：</w:t>
      </w:r>
    </w:p>
    <w:p>
      <w:pPr>
        <w:tabs>
          <w:tab w:val="left" w:pos="6300"/>
        </w:tabs>
        <w:snapToGrid w:val="0"/>
        <w:spacing w:line="400" w:lineRule="exact"/>
        <w:ind w:firstLine="570"/>
        <w:rPr>
          <w:rFonts w:ascii="Times New Roman" w:hAnsi="Times New Roman" w:eastAsia="宋体" w:cs="Times New Roman"/>
          <w:color w:val="000000" w:themeColor="text1"/>
          <w:sz w:val="24"/>
          <w:szCs w:val="21"/>
          <w:highlight w:val="none"/>
        </w:rPr>
      </w:pPr>
      <w:r>
        <w:rPr>
          <w:rFonts w:ascii="Times New Roman" w:hAnsi="Times New Roman" w:eastAsia="宋体" w:cs="Times New Roman"/>
          <w:color w:val="000000" w:themeColor="text1"/>
          <w:sz w:val="24"/>
          <w:szCs w:val="21"/>
          <w:highlight w:val="none"/>
        </w:rPr>
        <w:t>邮编：</w:t>
      </w:r>
    </w:p>
    <w:p>
      <w:pPr>
        <w:tabs>
          <w:tab w:val="left" w:pos="6300"/>
        </w:tabs>
        <w:snapToGrid w:val="0"/>
        <w:spacing w:line="400" w:lineRule="exact"/>
        <w:ind w:firstLine="570"/>
        <w:rPr>
          <w:rFonts w:ascii="Times New Roman" w:hAnsi="Times New Roman" w:eastAsia="宋体" w:cs="Times New Roman"/>
          <w:color w:val="000000" w:themeColor="text1"/>
          <w:sz w:val="24"/>
          <w:szCs w:val="21"/>
          <w:highlight w:val="none"/>
        </w:rPr>
      </w:pPr>
      <w:r>
        <w:rPr>
          <w:rFonts w:hint="eastAsia" w:ascii="Times New Roman" w:hAnsi="Times New Roman" w:eastAsia="宋体" w:cs="Times New Roman"/>
          <w:color w:val="000000" w:themeColor="text1"/>
          <w:sz w:val="24"/>
          <w:szCs w:val="21"/>
          <w:highlight w:val="none"/>
        </w:rPr>
        <w:t>邮箱：</w:t>
      </w:r>
    </w:p>
    <w:p>
      <w:pPr>
        <w:tabs>
          <w:tab w:val="left" w:pos="6300"/>
        </w:tabs>
        <w:snapToGrid w:val="0"/>
        <w:spacing w:line="400" w:lineRule="exact"/>
        <w:ind w:firstLine="570"/>
        <w:rPr>
          <w:rFonts w:ascii="Times New Roman" w:hAnsi="Times New Roman" w:eastAsia="宋体" w:cs="Times New Roman"/>
          <w:color w:val="000000" w:themeColor="text1"/>
          <w:sz w:val="24"/>
          <w:szCs w:val="21"/>
          <w:highlight w:val="none"/>
        </w:rPr>
      </w:pPr>
      <w:r>
        <w:rPr>
          <w:rFonts w:ascii="Times New Roman" w:hAnsi="Times New Roman" w:eastAsia="宋体" w:cs="Times New Roman"/>
          <w:color w:val="000000" w:themeColor="text1"/>
          <w:sz w:val="24"/>
          <w:szCs w:val="21"/>
          <w:highlight w:val="none"/>
        </w:rPr>
        <w:t>联系人：</w:t>
      </w:r>
    </w:p>
    <w:p>
      <w:pPr>
        <w:snapToGrid w:val="0"/>
        <w:spacing w:line="400" w:lineRule="exact"/>
        <w:ind w:firstLine="1320" w:firstLineChars="550"/>
        <w:rPr>
          <w:rFonts w:ascii="Times New Roman" w:hAnsi="Times New Roman" w:eastAsia="宋体" w:cs="Times New Roman"/>
          <w:color w:val="000000" w:themeColor="text1"/>
          <w:sz w:val="24"/>
          <w:szCs w:val="21"/>
          <w:highlight w:val="none"/>
        </w:rPr>
      </w:pPr>
      <w:r>
        <w:rPr>
          <w:rFonts w:ascii="Times New Roman" w:hAnsi="Times New Roman" w:eastAsia="宋体" w:cs="Times New Roman"/>
          <w:color w:val="000000" w:themeColor="text1"/>
          <w:sz w:val="24"/>
          <w:szCs w:val="21"/>
          <w:highlight w:val="none"/>
        </w:rPr>
        <w:t>年月日</w:t>
      </w:r>
    </w:p>
    <w:p>
      <w:pPr>
        <w:spacing w:line="400" w:lineRule="exact"/>
        <w:ind w:firstLine="480" w:firstLineChars="200"/>
        <w:rPr>
          <w:rFonts w:ascii="Times New Roman" w:hAnsi="Times New Roman" w:eastAsia="宋体" w:cs="Times New Roman"/>
          <w:color w:val="000000" w:themeColor="text1"/>
          <w:sz w:val="24"/>
          <w:szCs w:val="24"/>
          <w:highlight w:val="none"/>
        </w:rPr>
      </w:pPr>
    </w:p>
    <w:p>
      <w:pPr>
        <w:spacing w:line="400" w:lineRule="exact"/>
        <w:ind w:firstLine="480" w:firstLineChars="200"/>
        <w:rPr>
          <w:rFonts w:ascii="Times New Roman" w:hAnsi="Times New Roman" w:eastAsia="宋体" w:cs="Times New Roman"/>
          <w:color w:val="000000" w:themeColor="text1"/>
          <w:sz w:val="24"/>
          <w:szCs w:val="24"/>
          <w:highlight w:val="none"/>
        </w:rPr>
      </w:pPr>
    </w:p>
    <w:p>
      <w:pPr>
        <w:spacing w:line="400" w:lineRule="exact"/>
        <w:ind w:firstLine="480" w:firstLineChars="200"/>
        <w:rPr>
          <w:rFonts w:ascii="Times New Roman" w:hAnsi="Times New Roman" w:eastAsia="宋体" w:cs="Times New Roman"/>
          <w:color w:val="000000" w:themeColor="text1"/>
          <w:sz w:val="24"/>
          <w:szCs w:val="24"/>
          <w:highlight w:val="none"/>
        </w:rPr>
      </w:pPr>
    </w:p>
    <w:p>
      <w:pPr>
        <w:tabs>
          <w:tab w:val="left" w:pos="6300"/>
        </w:tabs>
        <w:snapToGrid w:val="0"/>
        <w:spacing w:line="440" w:lineRule="exact"/>
        <w:ind w:firstLine="480" w:firstLineChars="200"/>
        <w:jc w:val="center"/>
        <w:rPr>
          <w:rFonts w:ascii="宋体" w:hAnsi="宋体" w:eastAsia="宋体" w:cs="Times New Roman"/>
          <w:b/>
          <w:color w:val="000000" w:themeColor="text1"/>
          <w:sz w:val="24"/>
          <w:szCs w:val="28"/>
          <w:highlight w:val="none"/>
        </w:rPr>
      </w:pPr>
      <w:r>
        <w:rPr>
          <w:rFonts w:ascii="Times New Roman" w:hAnsi="Times New Roman" w:eastAsia="宋体" w:cs="Times New Roman"/>
          <w:color w:val="000000" w:themeColor="text1"/>
          <w:sz w:val="24"/>
          <w:szCs w:val="24"/>
          <w:highlight w:val="none"/>
        </w:rPr>
        <w:br w:type="page"/>
      </w:r>
      <w:r>
        <w:rPr>
          <w:rFonts w:ascii="Times New Roman" w:hAnsi="Times New Roman" w:eastAsia="宋体" w:cs="Times New Roman"/>
          <w:color w:val="000000" w:themeColor="text1"/>
          <w:sz w:val="32"/>
          <w:szCs w:val="32"/>
          <w:highlight w:val="none"/>
        </w:rPr>
        <w:t>1.1</w:t>
      </w:r>
      <w:r>
        <w:rPr>
          <w:rFonts w:ascii="Times New Roman" w:hAnsi="Times New Roman" w:eastAsia="宋体" w:cs="Times New Roman"/>
          <w:b/>
          <w:color w:val="000000" w:themeColor="text1"/>
          <w:sz w:val="32"/>
          <w:szCs w:val="32"/>
          <w:highlight w:val="none"/>
        </w:rPr>
        <w:t>报价明细表</w:t>
      </w:r>
    </w:p>
    <w:p>
      <w:pPr>
        <w:spacing w:line="440" w:lineRule="exact"/>
        <w:ind w:firstLine="555"/>
        <w:rPr>
          <w:rFonts w:ascii="Times New Roman" w:hAnsi="Times New Roman" w:eastAsia="宋体" w:cs="Times New Roman"/>
          <w:color w:val="000000" w:themeColor="text1"/>
          <w:sz w:val="24"/>
          <w:szCs w:val="21"/>
          <w:highlight w:val="none"/>
        </w:rPr>
      </w:pPr>
    </w:p>
    <w:tbl>
      <w:tblPr>
        <w:tblStyle w:val="55"/>
        <w:tblW w:w="9498"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74"/>
        <w:gridCol w:w="47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6" w:hRule="atLeast"/>
        </w:trPr>
        <w:tc>
          <w:tcPr>
            <w:tcW w:w="4774" w:type="dxa"/>
            <w:vAlign w:val="center"/>
          </w:tcPr>
          <w:p>
            <w:pPr>
              <w:adjustRightInd w:val="0"/>
              <w:snapToGrid w:val="0"/>
              <w:spacing w:line="400" w:lineRule="exact"/>
              <w:jc w:val="center"/>
              <w:rPr>
                <w:rFonts w:ascii="宋体" w:hAnsi="宋体" w:eastAsia="宋体" w:cs="宋体"/>
                <w:b/>
                <w:color w:val="000000" w:themeColor="text1"/>
                <w:kern w:val="0"/>
                <w:sz w:val="22"/>
                <w:szCs w:val="28"/>
                <w:highlight w:val="none"/>
              </w:rPr>
            </w:pPr>
            <w:r>
              <w:rPr>
                <w:rFonts w:hint="eastAsia" w:ascii="宋体" w:hAnsi="宋体" w:eastAsia="宋体" w:cs="宋体"/>
                <w:b/>
                <w:color w:val="000000" w:themeColor="text1"/>
                <w:kern w:val="0"/>
                <w:sz w:val="22"/>
                <w:szCs w:val="28"/>
                <w:highlight w:val="none"/>
              </w:rPr>
              <w:t>采购内容</w:t>
            </w:r>
          </w:p>
        </w:tc>
        <w:tc>
          <w:tcPr>
            <w:tcW w:w="4724" w:type="dxa"/>
            <w:vAlign w:val="center"/>
          </w:tcPr>
          <w:p>
            <w:pPr>
              <w:adjustRightInd w:val="0"/>
              <w:snapToGrid w:val="0"/>
              <w:spacing w:line="400" w:lineRule="exact"/>
              <w:jc w:val="center"/>
              <w:rPr>
                <w:rFonts w:ascii="宋体" w:hAnsi="宋体" w:eastAsia="宋体" w:cs="宋体"/>
                <w:b/>
                <w:color w:val="000000" w:themeColor="text1"/>
                <w:kern w:val="0"/>
                <w:sz w:val="22"/>
                <w:szCs w:val="28"/>
                <w:highlight w:val="none"/>
              </w:rPr>
            </w:pPr>
            <w:r>
              <w:rPr>
                <w:rFonts w:hint="eastAsia" w:ascii="宋体" w:hAnsi="宋体" w:eastAsia="宋体" w:cs="宋体"/>
                <w:b/>
                <w:color w:val="000000" w:themeColor="text1"/>
                <w:kern w:val="0"/>
                <w:sz w:val="22"/>
                <w:szCs w:val="28"/>
                <w:highlight w:val="none"/>
              </w:rPr>
              <w:t>投标总报价</w:t>
            </w:r>
          </w:p>
          <w:p>
            <w:pPr>
              <w:adjustRightInd w:val="0"/>
              <w:snapToGrid w:val="0"/>
              <w:spacing w:line="400" w:lineRule="exact"/>
              <w:jc w:val="center"/>
              <w:rPr>
                <w:rFonts w:ascii="宋体" w:hAnsi="宋体" w:eastAsia="宋体" w:cs="宋体"/>
                <w:b/>
                <w:color w:val="000000" w:themeColor="text1"/>
                <w:kern w:val="0"/>
                <w:sz w:val="22"/>
                <w:szCs w:val="28"/>
                <w:highlight w:val="none"/>
              </w:rPr>
            </w:pPr>
            <w:r>
              <w:rPr>
                <w:rFonts w:hint="eastAsia" w:ascii="宋体" w:hAnsi="宋体" w:eastAsia="宋体" w:cs="宋体"/>
                <w:b/>
                <w:color w:val="000000" w:themeColor="text1"/>
                <w:kern w:val="0"/>
                <w:sz w:val="22"/>
                <w:szCs w:val="28"/>
                <w:highlight w:val="none"/>
              </w:rPr>
              <w:t>（人民币小写，单位：万元）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2" w:hRule="atLeast"/>
        </w:trPr>
        <w:tc>
          <w:tcPr>
            <w:tcW w:w="4774" w:type="dxa"/>
            <w:vAlign w:val="center"/>
          </w:tcPr>
          <w:p>
            <w:pPr>
              <w:adjustRightInd w:val="0"/>
              <w:snapToGrid w:val="0"/>
              <w:spacing w:line="320" w:lineRule="exact"/>
              <w:jc w:val="center"/>
              <w:rPr>
                <w:rFonts w:ascii="宋体" w:hAnsi="宋体" w:eastAsia="宋体" w:cs="Times New Roman"/>
                <w:color w:val="000000" w:themeColor="text1"/>
                <w:sz w:val="22"/>
                <w:highlight w:val="none"/>
              </w:rPr>
            </w:pPr>
            <w:r>
              <w:rPr>
                <w:rFonts w:hint="eastAsia" w:ascii="宋体" w:hAnsi="宋体" w:eastAsia="宋体" w:cs="宋体"/>
                <w:b/>
                <w:color w:val="000000" w:themeColor="text1"/>
                <w:kern w:val="0"/>
                <w:sz w:val="22"/>
                <w:szCs w:val="28"/>
                <w:highlight w:val="none"/>
              </w:rPr>
              <w:t xml:space="preserve">重庆银行借记金融IC卡采购项目  </w:t>
            </w:r>
          </w:p>
        </w:tc>
        <w:tc>
          <w:tcPr>
            <w:tcW w:w="4724" w:type="dxa"/>
            <w:vAlign w:val="center"/>
          </w:tcPr>
          <w:p>
            <w:pPr>
              <w:adjustRightInd w:val="0"/>
              <w:snapToGrid w:val="0"/>
              <w:spacing w:line="400" w:lineRule="exact"/>
              <w:jc w:val="left"/>
              <w:rPr>
                <w:rFonts w:ascii="宋体" w:hAnsi="宋体" w:eastAsia="宋体" w:cs="宋体"/>
                <w:color w:val="000000" w:themeColor="text1"/>
                <w:kern w:val="0"/>
                <w:sz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4" w:hRule="atLeast"/>
        </w:trPr>
        <w:tc>
          <w:tcPr>
            <w:tcW w:w="4774" w:type="dxa"/>
            <w:tcBorders>
              <w:bottom w:val="single" w:color="auto" w:sz="4" w:space="0"/>
            </w:tcBorders>
            <w:vAlign w:val="center"/>
          </w:tcPr>
          <w:p>
            <w:pPr>
              <w:widowControl/>
              <w:jc w:val="center"/>
              <w:rPr>
                <w:color w:val="000000" w:themeColor="text1"/>
                <w:highlight w:val="none"/>
              </w:rPr>
            </w:pPr>
            <w:r>
              <w:rPr>
                <w:rFonts w:hint="eastAsia" w:ascii="宋体" w:hAnsi="宋体" w:eastAsia="宋体" w:cs="宋体"/>
                <w:b/>
                <w:color w:val="000000" w:themeColor="text1"/>
                <w:kern w:val="0"/>
                <w:sz w:val="22"/>
                <w:szCs w:val="28"/>
                <w:highlight w:val="none"/>
              </w:rPr>
              <w:t>投标总报价</w:t>
            </w:r>
            <w:r>
              <w:rPr>
                <w:rFonts w:hint="eastAsia" w:ascii="宋体" w:hAnsi="宋体" w:eastAsia="宋体" w:cs="Times New Roman"/>
                <w:b/>
                <w:color w:val="000000" w:themeColor="text1"/>
                <w:sz w:val="22"/>
                <w:szCs w:val="28"/>
                <w:highlight w:val="none"/>
              </w:rPr>
              <w:t>（人民币大写）</w:t>
            </w:r>
          </w:p>
        </w:tc>
        <w:tc>
          <w:tcPr>
            <w:tcW w:w="4724" w:type="dxa"/>
            <w:tcBorders>
              <w:bottom w:val="single" w:color="auto" w:sz="4" w:space="0"/>
            </w:tcBorders>
            <w:vAlign w:val="center"/>
          </w:tcPr>
          <w:p>
            <w:pPr>
              <w:widowControl/>
              <w:jc w:val="center"/>
              <w:rPr>
                <w:color w:val="000000" w:themeColor="text1"/>
                <w:highlight w:val="none"/>
              </w:rPr>
            </w:pPr>
          </w:p>
        </w:tc>
      </w:tr>
    </w:tbl>
    <w:p>
      <w:pPr>
        <w:tabs>
          <w:tab w:val="left" w:pos="6300"/>
        </w:tabs>
        <w:snapToGrid w:val="0"/>
        <w:spacing w:line="400" w:lineRule="exact"/>
        <w:ind w:right="420" w:firstLine="142"/>
        <w:jc w:val="left"/>
        <w:rPr>
          <w:rFonts w:ascii="宋体" w:hAnsi="宋体" w:eastAsia="宋体" w:cs="Times New Roman"/>
          <w:b/>
          <w:color w:val="000000" w:themeColor="text1"/>
          <w:szCs w:val="21"/>
          <w:highlight w:val="none"/>
        </w:rPr>
      </w:pPr>
    </w:p>
    <w:p>
      <w:pPr>
        <w:tabs>
          <w:tab w:val="left" w:pos="6300"/>
        </w:tabs>
        <w:snapToGrid w:val="0"/>
        <w:spacing w:line="400" w:lineRule="exact"/>
        <w:ind w:right="420" w:firstLine="142"/>
        <w:jc w:val="left"/>
        <w:rPr>
          <w:rFonts w:ascii="宋体" w:hAnsi="宋体" w:eastAsia="宋体" w:cs="Times New Roman"/>
          <w:b/>
          <w:color w:val="000000" w:themeColor="text1"/>
          <w:szCs w:val="21"/>
          <w:highlight w:val="none"/>
        </w:rPr>
      </w:pPr>
    </w:p>
    <w:p>
      <w:pPr>
        <w:tabs>
          <w:tab w:val="left" w:pos="6300"/>
        </w:tabs>
        <w:snapToGrid w:val="0"/>
        <w:spacing w:line="280" w:lineRule="exact"/>
        <w:rPr>
          <w:rFonts w:ascii="宋体" w:hAnsi="宋体" w:eastAsia="宋体" w:cs="Times New Roman"/>
          <w:b/>
          <w:color w:val="000000" w:themeColor="text1"/>
          <w:sz w:val="24"/>
          <w:szCs w:val="28"/>
          <w:highlight w:val="none"/>
        </w:rPr>
      </w:pPr>
      <w:r>
        <w:rPr>
          <w:rFonts w:hint="eastAsia" w:ascii="宋体" w:hAnsi="宋体" w:eastAsia="宋体" w:cs="Times New Roman"/>
          <w:b/>
          <w:color w:val="000000" w:themeColor="text1"/>
          <w:sz w:val="24"/>
          <w:szCs w:val="28"/>
          <w:highlight w:val="none"/>
        </w:rPr>
        <w:t>具体报价明细：</w:t>
      </w:r>
    </w:p>
    <w:p>
      <w:pPr>
        <w:tabs>
          <w:tab w:val="left" w:pos="6300"/>
        </w:tabs>
        <w:snapToGrid w:val="0"/>
        <w:spacing w:line="280" w:lineRule="exact"/>
        <w:rPr>
          <w:rFonts w:ascii="宋体" w:hAnsi="宋体" w:eastAsia="宋体" w:cs="Times New Roman"/>
          <w:b/>
          <w:color w:val="000000" w:themeColor="text1"/>
          <w:sz w:val="24"/>
          <w:szCs w:val="28"/>
          <w:highlight w:val="none"/>
        </w:rPr>
      </w:pPr>
    </w:p>
    <w:p>
      <w:pPr>
        <w:tabs>
          <w:tab w:val="left" w:pos="6300"/>
        </w:tabs>
        <w:snapToGrid w:val="0"/>
        <w:spacing w:line="280" w:lineRule="exact"/>
        <w:rPr>
          <w:rFonts w:ascii="宋体" w:hAnsi="宋体" w:eastAsia="宋体" w:cs="Times New Roman"/>
          <w:bCs/>
          <w:color w:val="000000" w:themeColor="text1"/>
          <w:sz w:val="24"/>
          <w:szCs w:val="28"/>
          <w:highlight w:val="none"/>
        </w:rPr>
      </w:pPr>
      <w:r>
        <w:rPr>
          <w:rFonts w:hint="eastAsia" w:ascii="宋体" w:hAnsi="宋体" w:eastAsia="宋体" w:cs="Times New Roman"/>
          <w:bCs/>
          <w:color w:val="000000" w:themeColor="text1"/>
          <w:sz w:val="24"/>
          <w:szCs w:val="28"/>
          <w:highlight w:val="none"/>
        </w:rPr>
        <w:t>一、标准卡（预计180万张）</w:t>
      </w:r>
    </w:p>
    <w:tbl>
      <w:tblPr>
        <w:tblStyle w:val="55"/>
        <w:tblpPr w:leftFromText="180" w:rightFromText="180" w:vertAnchor="text" w:horzAnchor="page" w:tblpX="1644" w:tblpY="560"/>
        <w:tblOverlap w:val="never"/>
        <w:tblW w:w="19824" w:type="dxa"/>
        <w:tblInd w:w="0" w:type="dxa"/>
        <w:tblLayout w:type="fixed"/>
        <w:tblCellMar>
          <w:top w:w="0" w:type="dxa"/>
          <w:left w:w="108" w:type="dxa"/>
          <w:bottom w:w="0" w:type="dxa"/>
          <w:right w:w="108" w:type="dxa"/>
        </w:tblCellMar>
      </w:tblPr>
      <w:tblGrid>
        <w:gridCol w:w="331"/>
        <w:gridCol w:w="663"/>
        <w:gridCol w:w="2134"/>
        <w:gridCol w:w="1494"/>
        <w:gridCol w:w="962"/>
        <w:gridCol w:w="1024"/>
        <w:gridCol w:w="1024"/>
        <w:gridCol w:w="1024"/>
        <w:gridCol w:w="4560"/>
        <w:gridCol w:w="6608"/>
      </w:tblGrid>
      <w:tr>
        <w:tblPrEx>
          <w:tblLayout w:type="fixed"/>
          <w:tblCellMar>
            <w:top w:w="0" w:type="dxa"/>
            <w:left w:w="108" w:type="dxa"/>
            <w:bottom w:w="0" w:type="dxa"/>
            <w:right w:w="108" w:type="dxa"/>
          </w:tblCellMar>
        </w:tblPrEx>
        <w:trPr>
          <w:gridAfter w:val="2"/>
          <w:wAfter w:w="11168" w:type="dxa"/>
          <w:trHeight w:val="65" w:hRule="atLeast"/>
        </w:trPr>
        <w:tc>
          <w:tcPr>
            <w:tcW w:w="33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ascii="宋体" w:hAnsi="宋体" w:cs="宋体"/>
                <w:b/>
                <w:color w:val="000000" w:themeColor="text1"/>
                <w:sz w:val="18"/>
                <w:szCs w:val="18"/>
                <w:highlight w:val="none"/>
              </w:rPr>
            </w:pPr>
            <w:r>
              <w:rPr>
                <w:rFonts w:hint="eastAsia" w:ascii="宋体" w:hAnsi="宋体" w:cs="宋体"/>
                <w:b/>
                <w:color w:val="000000" w:themeColor="text1"/>
                <w:sz w:val="18"/>
                <w:szCs w:val="18"/>
                <w:highlight w:val="none"/>
              </w:rPr>
              <w:t>序号</w:t>
            </w:r>
          </w:p>
        </w:tc>
        <w:tc>
          <w:tcPr>
            <w:tcW w:w="663"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宋体" w:hAnsi="宋体" w:cs="宋体"/>
                <w:b/>
                <w:color w:val="000000" w:themeColor="text1"/>
                <w:sz w:val="18"/>
                <w:szCs w:val="18"/>
                <w:highlight w:val="none"/>
              </w:rPr>
            </w:pPr>
            <w:r>
              <w:rPr>
                <w:rFonts w:hint="eastAsia" w:ascii="宋体" w:hAnsi="宋体" w:cs="宋体"/>
                <w:b/>
                <w:color w:val="000000" w:themeColor="text1"/>
                <w:sz w:val="18"/>
                <w:szCs w:val="18"/>
                <w:highlight w:val="none"/>
              </w:rPr>
              <w:t>名称</w:t>
            </w:r>
          </w:p>
        </w:tc>
        <w:tc>
          <w:tcPr>
            <w:tcW w:w="2134"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宋体" w:hAnsi="宋体" w:cs="宋体"/>
                <w:b/>
                <w:color w:val="000000" w:themeColor="text1"/>
                <w:sz w:val="18"/>
                <w:szCs w:val="18"/>
                <w:highlight w:val="none"/>
              </w:rPr>
            </w:pPr>
            <w:r>
              <w:rPr>
                <w:rFonts w:hint="eastAsia" w:ascii="宋体" w:hAnsi="宋体" w:cs="宋体"/>
                <w:b/>
                <w:color w:val="000000" w:themeColor="text1"/>
                <w:sz w:val="18"/>
                <w:szCs w:val="18"/>
                <w:highlight w:val="none"/>
              </w:rPr>
              <w:t>规格及工艺</w:t>
            </w:r>
          </w:p>
        </w:tc>
        <w:tc>
          <w:tcPr>
            <w:tcW w:w="1494"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宋体" w:hAnsi="宋体" w:cs="宋体"/>
                <w:b/>
                <w:color w:val="000000" w:themeColor="text1"/>
                <w:sz w:val="18"/>
                <w:szCs w:val="18"/>
                <w:highlight w:val="none"/>
              </w:rPr>
            </w:pPr>
            <w:r>
              <w:rPr>
                <w:rFonts w:hint="eastAsia" w:ascii="宋体" w:hAnsi="宋体" w:cs="宋体"/>
                <w:b/>
                <w:color w:val="000000" w:themeColor="text1"/>
                <w:sz w:val="18"/>
                <w:szCs w:val="18"/>
                <w:highlight w:val="none"/>
              </w:rPr>
              <w:t>银行卡品名</w:t>
            </w:r>
          </w:p>
        </w:tc>
        <w:tc>
          <w:tcPr>
            <w:tcW w:w="962" w:type="dxa"/>
            <w:tcBorders>
              <w:top w:val="single" w:color="auto" w:sz="4" w:space="0"/>
              <w:left w:val="nil"/>
              <w:bottom w:val="single" w:color="auto" w:sz="4" w:space="0"/>
              <w:right w:val="single" w:color="auto" w:sz="4" w:space="0"/>
            </w:tcBorders>
            <w:vAlign w:val="center"/>
          </w:tcPr>
          <w:p>
            <w:pPr>
              <w:spacing w:line="240" w:lineRule="exact"/>
              <w:rPr>
                <w:rFonts w:ascii="宋体" w:hAnsi="宋体" w:cs="宋体"/>
                <w:b/>
                <w:color w:val="000000" w:themeColor="text1"/>
                <w:sz w:val="18"/>
                <w:szCs w:val="18"/>
                <w:highlight w:val="none"/>
              </w:rPr>
            </w:pPr>
            <w:r>
              <w:rPr>
                <w:rFonts w:hint="eastAsia" w:ascii="宋体" w:hAnsi="宋体" w:cs="宋体"/>
                <w:b/>
                <w:color w:val="000000" w:themeColor="text1"/>
                <w:sz w:val="18"/>
                <w:szCs w:val="18"/>
                <w:highlight w:val="none"/>
              </w:rPr>
              <w:t>芯片要求</w:t>
            </w:r>
          </w:p>
        </w:tc>
        <w:tc>
          <w:tcPr>
            <w:tcW w:w="1024"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b/>
                <w:color w:val="000000" w:themeColor="text1"/>
                <w:sz w:val="18"/>
                <w:szCs w:val="18"/>
                <w:highlight w:val="none"/>
              </w:rPr>
            </w:pPr>
            <w:r>
              <w:rPr>
                <w:rFonts w:hint="eastAsia" w:ascii="宋体" w:hAnsi="宋体" w:cs="宋体"/>
                <w:b/>
                <w:color w:val="000000" w:themeColor="text1"/>
                <w:sz w:val="18"/>
                <w:szCs w:val="18"/>
                <w:highlight w:val="none"/>
              </w:rPr>
              <w:t>预计采购量（万张）</w:t>
            </w:r>
          </w:p>
        </w:tc>
        <w:tc>
          <w:tcPr>
            <w:tcW w:w="1024"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b/>
                <w:color w:val="000000" w:themeColor="text1"/>
                <w:sz w:val="18"/>
                <w:szCs w:val="18"/>
                <w:highlight w:val="none"/>
              </w:rPr>
            </w:pPr>
            <w:r>
              <w:rPr>
                <w:rFonts w:hint="eastAsia" w:ascii="宋体" w:hAnsi="宋体" w:cs="宋体"/>
                <w:b/>
                <w:color w:val="000000" w:themeColor="text1"/>
                <w:sz w:val="18"/>
                <w:szCs w:val="18"/>
                <w:highlight w:val="none"/>
              </w:rPr>
              <w:t>产品单价（元/张）</w:t>
            </w:r>
          </w:p>
        </w:tc>
        <w:tc>
          <w:tcPr>
            <w:tcW w:w="1024"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b/>
                <w:color w:val="000000" w:themeColor="text1"/>
                <w:sz w:val="18"/>
                <w:szCs w:val="18"/>
                <w:highlight w:val="none"/>
              </w:rPr>
            </w:pPr>
            <w:r>
              <w:rPr>
                <w:rFonts w:hint="eastAsia" w:ascii="宋体" w:hAnsi="宋体" w:cs="宋体"/>
                <w:b/>
                <w:color w:val="000000" w:themeColor="text1"/>
                <w:sz w:val="18"/>
                <w:szCs w:val="18"/>
                <w:highlight w:val="none"/>
              </w:rPr>
              <w:t>小计</w:t>
            </w:r>
          </w:p>
          <w:p>
            <w:pPr>
              <w:spacing w:line="240" w:lineRule="exact"/>
              <w:jc w:val="center"/>
              <w:rPr>
                <w:rFonts w:ascii="宋体" w:hAnsi="宋体" w:cs="宋体"/>
                <w:b/>
                <w:color w:val="000000" w:themeColor="text1"/>
                <w:sz w:val="18"/>
                <w:szCs w:val="18"/>
                <w:highlight w:val="none"/>
              </w:rPr>
            </w:pPr>
            <w:r>
              <w:rPr>
                <w:rFonts w:hint="eastAsia" w:ascii="宋体" w:hAnsi="宋体" w:cs="宋体"/>
                <w:b/>
                <w:color w:val="000000" w:themeColor="text1"/>
                <w:sz w:val="18"/>
                <w:szCs w:val="18"/>
                <w:highlight w:val="none"/>
              </w:rPr>
              <w:t>（万元）</w:t>
            </w:r>
          </w:p>
        </w:tc>
      </w:tr>
      <w:tr>
        <w:tblPrEx>
          <w:tblLayout w:type="fixed"/>
          <w:tblCellMar>
            <w:top w:w="0" w:type="dxa"/>
            <w:left w:w="108" w:type="dxa"/>
            <w:bottom w:w="0" w:type="dxa"/>
            <w:right w:w="108" w:type="dxa"/>
          </w:tblCellMar>
        </w:tblPrEx>
        <w:trPr>
          <w:gridAfter w:val="2"/>
          <w:wAfter w:w="11168" w:type="dxa"/>
          <w:trHeight w:val="2835" w:hRule="atLeast"/>
        </w:trPr>
        <w:tc>
          <w:tcPr>
            <w:tcW w:w="331" w:type="dxa"/>
            <w:tcBorders>
              <w:top w:val="nil"/>
              <w:left w:val="single" w:color="auto" w:sz="4" w:space="0"/>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1</w:t>
            </w:r>
          </w:p>
        </w:tc>
        <w:tc>
          <w:tcPr>
            <w:tcW w:w="663" w:type="dxa"/>
            <w:tcBorders>
              <w:top w:val="nil"/>
              <w:left w:val="single" w:color="auto" w:sz="4" w:space="0"/>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普通IC卡</w:t>
            </w:r>
          </w:p>
        </w:tc>
        <w:tc>
          <w:tcPr>
            <w:tcW w:w="2134" w:type="dxa"/>
            <w:tcBorders>
              <w:top w:val="nil"/>
              <w:left w:val="single" w:color="auto" w:sz="4" w:space="0"/>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双界面复合卡、优质PVC材料、卡体厚度为0.82±0.02、黑色高密磁条、两面光面、凸码烫银19位银行卡号、中国银联有关规定印制标识、采购方要求印制标识。</w:t>
            </w:r>
          </w:p>
        </w:tc>
        <w:tc>
          <w:tcPr>
            <w:tcW w:w="1494" w:type="dxa"/>
            <w:tcBorders>
              <w:top w:val="nil"/>
              <w:left w:val="nil"/>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规格及工艺相同，根据不同客户群有不同版面、品名（目前包括长江卡、儿童金豆卡、蒲公英卡、薪享卡、志愿者卡、生肖卡、员工卡、拥军优抚卡）</w:t>
            </w:r>
          </w:p>
        </w:tc>
        <w:tc>
          <w:tcPr>
            <w:tcW w:w="962" w:type="dxa"/>
            <w:tcBorders>
              <w:top w:val="nil"/>
              <w:left w:val="nil"/>
              <w:bottom w:val="single" w:color="auto" w:sz="4" w:space="0"/>
              <w:right w:val="single" w:color="auto" w:sz="4" w:space="0"/>
            </w:tcBorders>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芯片容量40K,使用国产芯片,支持国密算法</w:t>
            </w:r>
          </w:p>
        </w:tc>
        <w:tc>
          <w:tcPr>
            <w:tcW w:w="1024" w:type="dxa"/>
            <w:tcBorders>
              <w:top w:val="nil"/>
              <w:left w:val="nil"/>
              <w:bottom w:val="single" w:color="auto" w:sz="4" w:space="0"/>
              <w:right w:val="single" w:color="auto" w:sz="4" w:space="0"/>
            </w:tcBorders>
            <w:vAlign w:val="center"/>
          </w:tcPr>
          <w:p>
            <w:pPr>
              <w:spacing w:line="240" w:lineRule="exact"/>
              <w:jc w:val="center"/>
              <w:rPr>
                <w:rFonts w:ascii="宋体" w:hAnsi="宋体" w:cs="宋体"/>
                <w:color w:val="000000" w:themeColor="text1"/>
                <w:szCs w:val="21"/>
                <w:highlight w:val="none"/>
              </w:rPr>
            </w:pPr>
            <w:r>
              <w:rPr>
                <w:rFonts w:hint="eastAsia" w:ascii="宋体" w:hAnsi="宋体" w:cs="宋体"/>
                <w:color w:val="000000" w:themeColor="text1"/>
                <w:szCs w:val="21"/>
                <w:highlight w:val="none"/>
              </w:rPr>
              <w:t>161.15</w:t>
            </w:r>
          </w:p>
        </w:tc>
        <w:tc>
          <w:tcPr>
            <w:tcW w:w="1024" w:type="dxa"/>
            <w:tcBorders>
              <w:top w:val="nil"/>
              <w:left w:val="nil"/>
              <w:bottom w:val="single" w:color="auto" w:sz="4" w:space="0"/>
              <w:right w:val="single" w:color="auto" w:sz="4" w:space="0"/>
            </w:tcBorders>
            <w:vAlign w:val="center"/>
          </w:tcPr>
          <w:p>
            <w:pPr>
              <w:spacing w:line="240" w:lineRule="exact"/>
              <w:jc w:val="center"/>
              <w:rPr>
                <w:rFonts w:ascii="宋体" w:hAnsi="宋体" w:cs="宋体"/>
                <w:color w:val="000000" w:themeColor="text1"/>
                <w:szCs w:val="21"/>
                <w:highlight w:val="none"/>
              </w:rPr>
            </w:pPr>
          </w:p>
        </w:tc>
        <w:tc>
          <w:tcPr>
            <w:tcW w:w="1024" w:type="dxa"/>
            <w:tcBorders>
              <w:top w:val="nil"/>
              <w:left w:val="nil"/>
              <w:bottom w:val="single" w:color="auto" w:sz="4" w:space="0"/>
              <w:right w:val="single" w:color="auto" w:sz="4" w:space="0"/>
            </w:tcBorders>
            <w:vAlign w:val="center"/>
          </w:tcPr>
          <w:p>
            <w:pPr>
              <w:spacing w:line="240" w:lineRule="exact"/>
              <w:jc w:val="center"/>
              <w:rPr>
                <w:rFonts w:ascii="宋体" w:hAnsi="宋体" w:cs="宋体"/>
                <w:color w:val="000000" w:themeColor="text1"/>
                <w:szCs w:val="21"/>
                <w:highlight w:val="none"/>
              </w:rPr>
            </w:pPr>
          </w:p>
        </w:tc>
      </w:tr>
      <w:tr>
        <w:tblPrEx>
          <w:tblLayout w:type="fixed"/>
          <w:tblCellMar>
            <w:top w:w="0" w:type="dxa"/>
            <w:left w:w="108" w:type="dxa"/>
            <w:bottom w:w="0" w:type="dxa"/>
            <w:right w:w="108" w:type="dxa"/>
          </w:tblCellMar>
        </w:tblPrEx>
        <w:trPr>
          <w:gridAfter w:val="2"/>
          <w:wAfter w:w="11168" w:type="dxa"/>
          <w:trHeight w:val="2240" w:hRule="atLeast"/>
        </w:trPr>
        <w:tc>
          <w:tcPr>
            <w:tcW w:w="331" w:type="dxa"/>
            <w:tcBorders>
              <w:top w:val="nil"/>
              <w:left w:val="single" w:color="auto" w:sz="4" w:space="0"/>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2</w:t>
            </w:r>
          </w:p>
        </w:tc>
        <w:tc>
          <w:tcPr>
            <w:tcW w:w="663" w:type="dxa"/>
            <w:tcBorders>
              <w:top w:val="nil"/>
              <w:left w:val="nil"/>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普通IC卡</w:t>
            </w:r>
          </w:p>
        </w:tc>
        <w:tc>
          <w:tcPr>
            <w:tcW w:w="2134" w:type="dxa"/>
            <w:tcBorders>
              <w:top w:val="nil"/>
              <w:left w:val="nil"/>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双界面复合卡、优质PVC材料、卡体厚度为0.82±0.02、金色高密磁条、两面光面，卡面中间</w:t>
            </w:r>
            <w:r>
              <w:rPr>
                <w:rFonts w:ascii="宋体" w:hAnsi="宋体" w:cs="宋体"/>
                <w:color w:val="000000" w:themeColor="text1"/>
                <w:szCs w:val="21"/>
                <w:highlight w:val="none"/>
              </w:rPr>
              <w:t>LOGO</w:t>
            </w:r>
            <w:r>
              <w:rPr>
                <w:rFonts w:hint="eastAsia" w:ascii="宋体" w:hAnsi="宋体" w:cs="宋体"/>
                <w:color w:val="000000" w:themeColor="text1"/>
                <w:szCs w:val="21"/>
                <w:highlight w:val="none"/>
              </w:rPr>
              <w:t>珠光、凸码烫银</w:t>
            </w:r>
            <w:r>
              <w:rPr>
                <w:rFonts w:ascii="宋体" w:hAnsi="宋体" w:cs="宋体"/>
                <w:color w:val="000000" w:themeColor="text1"/>
                <w:szCs w:val="21"/>
                <w:highlight w:val="none"/>
              </w:rPr>
              <w:t>19</w:t>
            </w:r>
            <w:r>
              <w:rPr>
                <w:rFonts w:hint="eastAsia" w:ascii="宋体" w:hAnsi="宋体" w:cs="宋体"/>
                <w:color w:val="000000" w:themeColor="text1"/>
                <w:szCs w:val="21"/>
                <w:highlight w:val="none"/>
              </w:rPr>
              <w:t>位银行卡号、中国银联有关规定印制标识、采购方要求印制标识。</w:t>
            </w:r>
          </w:p>
        </w:tc>
        <w:tc>
          <w:tcPr>
            <w:tcW w:w="1494" w:type="dxa"/>
            <w:tcBorders>
              <w:top w:val="nil"/>
              <w:left w:val="nil"/>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长江财源IC卡</w:t>
            </w:r>
          </w:p>
        </w:tc>
        <w:tc>
          <w:tcPr>
            <w:tcW w:w="962" w:type="dxa"/>
            <w:tcBorders>
              <w:top w:val="nil"/>
              <w:left w:val="nil"/>
              <w:bottom w:val="single" w:color="auto" w:sz="4" w:space="0"/>
              <w:right w:val="single" w:color="auto" w:sz="4" w:space="0"/>
            </w:tcBorders>
          </w:tcPr>
          <w:p>
            <w:pPr>
              <w:spacing w:line="240" w:lineRule="exact"/>
              <w:jc w:val="center"/>
              <w:rPr>
                <w:rFonts w:ascii="宋体" w:hAnsi="宋体" w:cs="宋体"/>
                <w:color w:val="000000" w:themeColor="text1"/>
                <w:szCs w:val="21"/>
                <w:highlight w:val="none"/>
              </w:rPr>
            </w:pPr>
            <w:r>
              <w:rPr>
                <w:rFonts w:hint="eastAsia" w:ascii="宋体" w:hAnsi="宋体" w:cs="宋体"/>
                <w:color w:val="000000" w:themeColor="text1"/>
                <w:szCs w:val="21"/>
                <w:highlight w:val="none"/>
              </w:rPr>
              <w:t>芯片容量40K,使用国产芯片,支持国密算法</w:t>
            </w:r>
          </w:p>
        </w:tc>
        <w:tc>
          <w:tcPr>
            <w:tcW w:w="1024" w:type="dxa"/>
            <w:tcBorders>
              <w:top w:val="nil"/>
              <w:left w:val="nil"/>
              <w:bottom w:val="single" w:color="auto" w:sz="4" w:space="0"/>
              <w:right w:val="single" w:color="auto" w:sz="4" w:space="0"/>
            </w:tcBorders>
            <w:vAlign w:val="center"/>
          </w:tcPr>
          <w:p>
            <w:pPr>
              <w:spacing w:line="240" w:lineRule="exact"/>
              <w:jc w:val="center"/>
              <w:rPr>
                <w:rFonts w:ascii="宋体" w:hAnsi="宋体" w:cs="宋体"/>
                <w:color w:val="000000" w:themeColor="text1"/>
                <w:szCs w:val="21"/>
                <w:highlight w:val="none"/>
              </w:rPr>
            </w:pPr>
            <w:r>
              <w:rPr>
                <w:rFonts w:hint="eastAsia" w:ascii="宋体" w:hAnsi="宋体" w:cs="宋体"/>
                <w:color w:val="000000" w:themeColor="text1"/>
                <w:szCs w:val="21"/>
                <w:highlight w:val="none"/>
              </w:rPr>
              <w:t>4</w:t>
            </w:r>
          </w:p>
        </w:tc>
        <w:tc>
          <w:tcPr>
            <w:tcW w:w="1024" w:type="dxa"/>
            <w:tcBorders>
              <w:top w:val="nil"/>
              <w:left w:val="nil"/>
              <w:bottom w:val="single" w:color="auto" w:sz="4" w:space="0"/>
              <w:right w:val="single" w:color="auto" w:sz="4" w:space="0"/>
            </w:tcBorders>
            <w:vAlign w:val="center"/>
          </w:tcPr>
          <w:p>
            <w:pPr>
              <w:spacing w:line="240" w:lineRule="exact"/>
              <w:jc w:val="center"/>
              <w:rPr>
                <w:rFonts w:ascii="宋体" w:hAnsi="宋体" w:cs="宋体"/>
                <w:color w:val="000000" w:themeColor="text1"/>
                <w:szCs w:val="21"/>
                <w:highlight w:val="none"/>
              </w:rPr>
            </w:pPr>
          </w:p>
        </w:tc>
        <w:tc>
          <w:tcPr>
            <w:tcW w:w="1024" w:type="dxa"/>
            <w:tcBorders>
              <w:top w:val="nil"/>
              <w:left w:val="nil"/>
              <w:bottom w:val="single" w:color="auto" w:sz="4" w:space="0"/>
              <w:right w:val="single" w:color="auto" w:sz="4" w:space="0"/>
            </w:tcBorders>
            <w:vAlign w:val="center"/>
          </w:tcPr>
          <w:p>
            <w:pPr>
              <w:spacing w:line="240" w:lineRule="exact"/>
              <w:jc w:val="center"/>
              <w:rPr>
                <w:rFonts w:ascii="宋体" w:hAnsi="宋体" w:cs="宋体"/>
                <w:color w:val="000000" w:themeColor="text1"/>
                <w:szCs w:val="21"/>
                <w:highlight w:val="none"/>
              </w:rPr>
            </w:pPr>
          </w:p>
        </w:tc>
      </w:tr>
      <w:tr>
        <w:tblPrEx>
          <w:tblLayout w:type="fixed"/>
          <w:tblCellMar>
            <w:top w:w="0" w:type="dxa"/>
            <w:left w:w="108" w:type="dxa"/>
            <w:bottom w:w="0" w:type="dxa"/>
            <w:right w:w="108" w:type="dxa"/>
          </w:tblCellMar>
        </w:tblPrEx>
        <w:trPr>
          <w:gridAfter w:val="2"/>
          <w:wAfter w:w="11168" w:type="dxa"/>
          <w:trHeight w:val="2250" w:hRule="atLeast"/>
        </w:trPr>
        <w:tc>
          <w:tcPr>
            <w:tcW w:w="331" w:type="dxa"/>
            <w:tcBorders>
              <w:top w:val="nil"/>
              <w:left w:val="single" w:color="auto" w:sz="4" w:space="0"/>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3</w:t>
            </w:r>
          </w:p>
        </w:tc>
        <w:tc>
          <w:tcPr>
            <w:tcW w:w="663" w:type="dxa"/>
            <w:tcBorders>
              <w:top w:val="nil"/>
              <w:left w:val="nil"/>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普通IC卡</w:t>
            </w:r>
          </w:p>
        </w:tc>
        <w:tc>
          <w:tcPr>
            <w:tcW w:w="2134" w:type="dxa"/>
            <w:tcBorders>
              <w:top w:val="nil"/>
              <w:left w:val="nil"/>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双界面复合卡、优质PVC材料、卡体厚度为0.82±0.02、黑色高密磁条、两面哑面，珠光、白字平印19位银行卡号、中国银联有关规定印制标识、采购方要求印制标识。</w:t>
            </w:r>
          </w:p>
        </w:tc>
        <w:tc>
          <w:tcPr>
            <w:tcW w:w="1494" w:type="dxa"/>
            <w:tcBorders>
              <w:top w:val="nil"/>
              <w:left w:val="nil"/>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英才IC卡</w:t>
            </w:r>
          </w:p>
        </w:tc>
        <w:tc>
          <w:tcPr>
            <w:tcW w:w="962" w:type="dxa"/>
            <w:tcBorders>
              <w:top w:val="nil"/>
              <w:left w:val="nil"/>
              <w:bottom w:val="single" w:color="auto" w:sz="4" w:space="0"/>
              <w:right w:val="single" w:color="auto" w:sz="4" w:space="0"/>
            </w:tcBorders>
          </w:tcPr>
          <w:p>
            <w:pPr>
              <w:spacing w:line="240" w:lineRule="exact"/>
              <w:jc w:val="center"/>
              <w:rPr>
                <w:rFonts w:ascii="宋体" w:hAnsi="宋体" w:cs="宋体"/>
                <w:color w:val="000000" w:themeColor="text1"/>
                <w:szCs w:val="21"/>
                <w:highlight w:val="none"/>
              </w:rPr>
            </w:pPr>
            <w:r>
              <w:rPr>
                <w:rFonts w:hint="eastAsia" w:ascii="宋体" w:hAnsi="宋体" w:cs="宋体"/>
                <w:color w:val="000000" w:themeColor="text1"/>
                <w:szCs w:val="21"/>
                <w:highlight w:val="none"/>
              </w:rPr>
              <w:t>芯片容量40K,使用国产芯片,支持国密算法</w:t>
            </w:r>
          </w:p>
        </w:tc>
        <w:tc>
          <w:tcPr>
            <w:tcW w:w="1024" w:type="dxa"/>
            <w:tcBorders>
              <w:top w:val="nil"/>
              <w:left w:val="nil"/>
              <w:bottom w:val="single" w:color="auto" w:sz="4" w:space="0"/>
              <w:right w:val="single" w:color="auto" w:sz="4" w:space="0"/>
            </w:tcBorders>
            <w:vAlign w:val="center"/>
          </w:tcPr>
          <w:p>
            <w:pPr>
              <w:spacing w:line="240" w:lineRule="exact"/>
              <w:jc w:val="center"/>
              <w:rPr>
                <w:rFonts w:ascii="宋体" w:hAnsi="宋体" w:cs="宋体"/>
                <w:color w:val="000000" w:themeColor="text1"/>
                <w:szCs w:val="21"/>
                <w:highlight w:val="none"/>
              </w:rPr>
            </w:pPr>
            <w:r>
              <w:rPr>
                <w:rFonts w:hint="eastAsia" w:ascii="宋体" w:hAnsi="宋体" w:cs="宋体"/>
                <w:color w:val="000000" w:themeColor="text1"/>
                <w:szCs w:val="21"/>
                <w:highlight w:val="none"/>
              </w:rPr>
              <w:t>0.2</w:t>
            </w:r>
          </w:p>
        </w:tc>
        <w:tc>
          <w:tcPr>
            <w:tcW w:w="1024" w:type="dxa"/>
            <w:tcBorders>
              <w:top w:val="nil"/>
              <w:left w:val="nil"/>
              <w:bottom w:val="single" w:color="auto" w:sz="4" w:space="0"/>
              <w:right w:val="single" w:color="auto" w:sz="4" w:space="0"/>
            </w:tcBorders>
            <w:vAlign w:val="center"/>
          </w:tcPr>
          <w:p>
            <w:pPr>
              <w:spacing w:line="240" w:lineRule="exact"/>
              <w:jc w:val="center"/>
              <w:rPr>
                <w:rFonts w:ascii="宋体" w:hAnsi="宋体" w:cs="宋体"/>
                <w:color w:val="000000" w:themeColor="text1"/>
                <w:szCs w:val="21"/>
                <w:highlight w:val="none"/>
              </w:rPr>
            </w:pPr>
          </w:p>
        </w:tc>
        <w:tc>
          <w:tcPr>
            <w:tcW w:w="1024" w:type="dxa"/>
            <w:tcBorders>
              <w:top w:val="nil"/>
              <w:left w:val="nil"/>
              <w:bottom w:val="single" w:color="auto" w:sz="4" w:space="0"/>
              <w:right w:val="single" w:color="auto" w:sz="4" w:space="0"/>
            </w:tcBorders>
            <w:vAlign w:val="center"/>
          </w:tcPr>
          <w:p>
            <w:pPr>
              <w:spacing w:line="240" w:lineRule="exact"/>
              <w:jc w:val="center"/>
              <w:rPr>
                <w:rFonts w:ascii="宋体" w:hAnsi="宋体" w:cs="宋体"/>
                <w:color w:val="000000" w:themeColor="text1"/>
                <w:szCs w:val="21"/>
                <w:highlight w:val="none"/>
              </w:rPr>
            </w:pPr>
          </w:p>
        </w:tc>
      </w:tr>
      <w:tr>
        <w:tblPrEx>
          <w:tblLayout w:type="fixed"/>
          <w:tblCellMar>
            <w:top w:w="0" w:type="dxa"/>
            <w:left w:w="108" w:type="dxa"/>
            <w:bottom w:w="0" w:type="dxa"/>
            <w:right w:w="108" w:type="dxa"/>
          </w:tblCellMar>
        </w:tblPrEx>
        <w:trPr>
          <w:gridAfter w:val="2"/>
          <w:wAfter w:w="11168" w:type="dxa"/>
          <w:trHeight w:val="771" w:hRule="atLeast"/>
        </w:trPr>
        <w:tc>
          <w:tcPr>
            <w:tcW w:w="331" w:type="dxa"/>
            <w:tcBorders>
              <w:top w:val="nil"/>
              <w:left w:val="single" w:color="auto" w:sz="4" w:space="0"/>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4</w:t>
            </w:r>
          </w:p>
        </w:tc>
        <w:tc>
          <w:tcPr>
            <w:tcW w:w="663" w:type="dxa"/>
            <w:tcBorders>
              <w:top w:val="nil"/>
              <w:left w:val="nil"/>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贵宾IC卡</w:t>
            </w:r>
          </w:p>
        </w:tc>
        <w:tc>
          <w:tcPr>
            <w:tcW w:w="2134" w:type="dxa"/>
            <w:tcBorders>
              <w:top w:val="nil"/>
              <w:left w:val="nil"/>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双界面复合卡、优质PVC材料、卡体厚度为0.82±0.02、高密隐形磁条、金/镭射金、凸码烫银19位银行卡号、中国银联有关规定印制标识、采购方要求印制标识。</w:t>
            </w:r>
          </w:p>
        </w:tc>
        <w:tc>
          <w:tcPr>
            <w:tcW w:w="1494" w:type="dxa"/>
            <w:tcBorders>
              <w:top w:val="nil"/>
              <w:left w:val="nil"/>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黄金IC卡</w:t>
            </w:r>
          </w:p>
        </w:tc>
        <w:tc>
          <w:tcPr>
            <w:tcW w:w="962" w:type="dxa"/>
            <w:tcBorders>
              <w:top w:val="nil"/>
              <w:left w:val="nil"/>
              <w:bottom w:val="single" w:color="auto" w:sz="4" w:space="0"/>
              <w:right w:val="single" w:color="auto" w:sz="4" w:space="0"/>
            </w:tcBorders>
          </w:tcPr>
          <w:p>
            <w:pPr>
              <w:spacing w:line="240" w:lineRule="exact"/>
              <w:rPr>
                <w:rFonts w:ascii="宋体" w:hAnsi="宋体" w:cs="宋体"/>
                <w:color w:val="000000" w:themeColor="text1"/>
                <w:szCs w:val="21"/>
                <w:highlight w:val="none"/>
              </w:rPr>
            </w:pPr>
          </w:p>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芯片容量40K,使用国产芯片,支持国密算法</w:t>
            </w:r>
          </w:p>
        </w:tc>
        <w:tc>
          <w:tcPr>
            <w:tcW w:w="1024" w:type="dxa"/>
            <w:tcBorders>
              <w:top w:val="nil"/>
              <w:left w:val="nil"/>
              <w:bottom w:val="single" w:color="auto" w:sz="4" w:space="0"/>
              <w:right w:val="single" w:color="auto" w:sz="4" w:space="0"/>
            </w:tcBorders>
            <w:vAlign w:val="center"/>
          </w:tcPr>
          <w:p>
            <w:pPr>
              <w:spacing w:line="240" w:lineRule="exact"/>
              <w:ind w:firstLine="210" w:firstLineChars="100"/>
              <w:jc w:val="center"/>
              <w:rPr>
                <w:rFonts w:ascii="宋体" w:hAnsi="宋体" w:cs="宋体"/>
                <w:color w:val="000000" w:themeColor="text1"/>
                <w:szCs w:val="21"/>
                <w:highlight w:val="none"/>
              </w:rPr>
            </w:pPr>
            <w:r>
              <w:rPr>
                <w:rFonts w:hint="eastAsia" w:ascii="宋体" w:hAnsi="宋体" w:cs="宋体"/>
                <w:color w:val="000000" w:themeColor="text1"/>
                <w:szCs w:val="21"/>
                <w:highlight w:val="none"/>
              </w:rPr>
              <w:t>8</w:t>
            </w:r>
          </w:p>
        </w:tc>
        <w:tc>
          <w:tcPr>
            <w:tcW w:w="1024" w:type="dxa"/>
            <w:tcBorders>
              <w:top w:val="nil"/>
              <w:left w:val="nil"/>
              <w:bottom w:val="single" w:color="auto" w:sz="4" w:space="0"/>
              <w:right w:val="single" w:color="auto" w:sz="4" w:space="0"/>
            </w:tcBorders>
            <w:vAlign w:val="center"/>
          </w:tcPr>
          <w:p>
            <w:pPr>
              <w:spacing w:line="240" w:lineRule="exact"/>
              <w:ind w:firstLine="210" w:firstLineChars="100"/>
              <w:jc w:val="center"/>
              <w:rPr>
                <w:rFonts w:ascii="宋体" w:hAnsi="宋体" w:cs="宋体"/>
                <w:color w:val="000000" w:themeColor="text1"/>
                <w:szCs w:val="21"/>
                <w:highlight w:val="none"/>
              </w:rPr>
            </w:pPr>
          </w:p>
        </w:tc>
        <w:tc>
          <w:tcPr>
            <w:tcW w:w="1024" w:type="dxa"/>
            <w:tcBorders>
              <w:top w:val="nil"/>
              <w:left w:val="nil"/>
              <w:bottom w:val="single" w:color="auto" w:sz="4" w:space="0"/>
              <w:right w:val="single" w:color="auto" w:sz="4" w:space="0"/>
            </w:tcBorders>
            <w:vAlign w:val="center"/>
          </w:tcPr>
          <w:p>
            <w:pPr>
              <w:spacing w:line="240" w:lineRule="exact"/>
              <w:ind w:firstLine="210" w:firstLineChars="100"/>
              <w:jc w:val="center"/>
              <w:rPr>
                <w:rFonts w:ascii="宋体" w:hAnsi="宋体" w:cs="宋体"/>
                <w:color w:val="000000" w:themeColor="text1"/>
                <w:szCs w:val="21"/>
                <w:highlight w:val="none"/>
              </w:rPr>
            </w:pPr>
          </w:p>
        </w:tc>
      </w:tr>
      <w:tr>
        <w:tblPrEx>
          <w:tblLayout w:type="fixed"/>
          <w:tblCellMar>
            <w:top w:w="0" w:type="dxa"/>
            <w:left w:w="108" w:type="dxa"/>
            <w:bottom w:w="0" w:type="dxa"/>
            <w:right w:w="108" w:type="dxa"/>
          </w:tblCellMar>
        </w:tblPrEx>
        <w:trPr>
          <w:gridAfter w:val="2"/>
          <w:wAfter w:w="11168" w:type="dxa"/>
          <w:trHeight w:val="2255" w:hRule="atLeast"/>
        </w:trPr>
        <w:tc>
          <w:tcPr>
            <w:tcW w:w="33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5</w:t>
            </w:r>
          </w:p>
        </w:tc>
        <w:tc>
          <w:tcPr>
            <w:tcW w:w="663" w:type="dxa"/>
            <w:tcBorders>
              <w:top w:val="single" w:color="auto" w:sz="4" w:space="0"/>
              <w:left w:val="nil"/>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贵宾IC卡</w:t>
            </w:r>
          </w:p>
        </w:tc>
        <w:tc>
          <w:tcPr>
            <w:tcW w:w="2134" w:type="dxa"/>
            <w:tcBorders>
              <w:top w:val="single" w:color="auto" w:sz="4" w:space="0"/>
              <w:left w:val="nil"/>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双界面复合卡、优质PVC材料、卡体厚度为0.82±0.02、两面光面、高密隐形磁条、银/镭射银、凸码烫银19位银行卡号、中国银联有关规定印制标识、采购方要求印制标识。</w:t>
            </w:r>
          </w:p>
        </w:tc>
        <w:tc>
          <w:tcPr>
            <w:tcW w:w="1494" w:type="dxa"/>
            <w:tcBorders>
              <w:top w:val="single" w:color="auto" w:sz="4" w:space="0"/>
              <w:left w:val="nil"/>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铂金IC卡</w:t>
            </w:r>
          </w:p>
        </w:tc>
        <w:tc>
          <w:tcPr>
            <w:tcW w:w="962" w:type="dxa"/>
            <w:tcBorders>
              <w:top w:val="single" w:color="auto" w:sz="4" w:space="0"/>
              <w:left w:val="nil"/>
              <w:bottom w:val="single" w:color="auto" w:sz="4" w:space="0"/>
              <w:right w:val="single" w:color="auto" w:sz="4" w:space="0"/>
            </w:tcBorders>
          </w:tcPr>
          <w:p>
            <w:pPr>
              <w:spacing w:line="240" w:lineRule="exact"/>
              <w:jc w:val="center"/>
              <w:rPr>
                <w:rFonts w:ascii="宋体" w:hAnsi="宋体" w:cs="宋体"/>
                <w:color w:val="000000" w:themeColor="text1"/>
                <w:szCs w:val="21"/>
                <w:highlight w:val="none"/>
              </w:rPr>
            </w:pPr>
          </w:p>
          <w:p>
            <w:pPr>
              <w:spacing w:line="240" w:lineRule="exact"/>
              <w:jc w:val="center"/>
              <w:rPr>
                <w:rFonts w:ascii="宋体" w:hAnsi="宋体" w:cs="宋体"/>
                <w:color w:val="000000" w:themeColor="text1"/>
                <w:szCs w:val="21"/>
                <w:highlight w:val="none"/>
              </w:rPr>
            </w:pPr>
            <w:r>
              <w:rPr>
                <w:rFonts w:hint="eastAsia" w:ascii="宋体" w:hAnsi="宋体" w:cs="宋体"/>
                <w:color w:val="000000" w:themeColor="text1"/>
                <w:szCs w:val="21"/>
                <w:highlight w:val="none"/>
              </w:rPr>
              <w:t>芯片容量40K,使用国产芯片,支持国密算法</w:t>
            </w:r>
          </w:p>
        </w:tc>
        <w:tc>
          <w:tcPr>
            <w:tcW w:w="1024"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color w:val="000000" w:themeColor="text1"/>
                <w:szCs w:val="21"/>
                <w:highlight w:val="none"/>
              </w:rPr>
            </w:pPr>
            <w:r>
              <w:rPr>
                <w:rFonts w:hint="eastAsia" w:ascii="宋体" w:hAnsi="宋体" w:cs="宋体"/>
                <w:color w:val="000000" w:themeColor="text1"/>
                <w:szCs w:val="21"/>
                <w:highlight w:val="none"/>
              </w:rPr>
              <w:t>4</w:t>
            </w:r>
          </w:p>
        </w:tc>
        <w:tc>
          <w:tcPr>
            <w:tcW w:w="1024"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color w:val="000000" w:themeColor="text1"/>
                <w:szCs w:val="21"/>
                <w:highlight w:val="none"/>
              </w:rPr>
            </w:pPr>
          </w:p>
        </w:tc>
        <w:tc>
          <w:tcPr>
            <w:tcW w:w="1024"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cs="宋体"/>
                <w:color w:val="000000" w:themeColor="text1"/>
                <w:szCs w:val="21"/>
                <w:highlight w:val="none"/>
              </w:rPr>
            </w:pPr>
          </w:p>
        </w:tc>
      </w:tr>
      <w:tr>
        <w:tblPrEx>
          <w:tblLayout w:type="fixed"/>
          <w:tblCellMar>
            <w:top w:w="0" w:type="dxa"/>
            <w:left w:w="108" w:type="dxa"/>
            <w:bottom w:w="0" w:type="dxa"/>
            <w:right w:w="108" w:type="dxa"/>
          </w:tblCellMar>
        </w:tblPrEx>
        <w:trPr>
          <w:gridAfter w:val="2"/>
          <w:wAfter w:w="11168" w:type="dxa"/>
          <w:trHeight w:val="2025" w:hRule="atLeast"/>
        </w:trPr>
        <w:tc>
          <w:tcPr>
            <w:tcW w:w="331" w:type="dxa"/>
            <w:tcBorders>
              <w:top w:val="nil"/>
              <w:left w:val="single" w:color="auto" w:sz="4" w:space="0"/>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6</w:t>
            </w:r>
          </w:p>
        </w:tc>
        <w:tc>
          <w:tcPr>
            <w:tcW w:w="663" w:type="dxa"/>
            <w:tcBorders>
              <w:top w:val="nil"/>
              <w:left w:val="nil"/>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贵宾IC卡</w:t>
            </w:r>
          </w:p>
        </w:tc>
        <w:tc>
          <w:tcPr>
            <w:tcW w:w="2134" w:type="dxa"/>
            <w:tcBorders>
              <w:top w:val="nil"/>
              <w:left w:val="nil"/>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双界面复合卡、优质PVC材料、卡体厚度为0.82±0.02、高密隐形磁条、银/镭射银、凸码烫银19位银行卡号、中国银联有关规定印制标识、采购方要求印制标识。</w:t>
            </w:r>
          </w:p>
        </w:tc>
        <w:tc>
          <w:tcPr>
            <w:tcW w:w="1494" w:type="dxa"/>
            <w:tcBorders>
              <w:top w:val="nil"/>
              <w:left w:val="nil"/>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钻石IC卡</w:t>
            </w:r>
          </w:p>
        </w:tc>
        <w:tc>
          <w:tcPr>
            <w:tcW w:w="962" w:type="dxa"/>
            <w:tcBorders>
              <w:top w:val="nil"/>
              <w:left w:val="nil"/>
              <w:bottom w:val="single" w:color="auto" w:sz="4" w:space="0"/>
              <w:right w:val="single" w:color="auto" w:sz="4" w:space="0"/>
            </w:tcBorders>
          </w:tcPr>
          <w:p>
            <w:pPr>
              <w:spacing w:line="240" w:lineRule="exact"/>
              <w:jc w:val="center"/>
              <w:rPr>
                <w:rFonts w:ascii="宋体" w:hAnsi="宋体" w:cs="宋体"/>
                <w:color w:val="000000" w:themeColor="text1"/>
                <w:szCs w:val="21"/>
                <w:highlight w:val="none"/>
              </w:rPr>
            </w:pPr>
          </w:p>
          <w:p>
            <w:pPr>
              <w:spacing w:line="240" w:lineRule="exact"/>
              <w:jc w:val="center"/>
              <w:rPr>
                <w:rFonts w:ascii="宋体" w:hAnsi="宋体" w:cs="宋体"/>
                <w:color w:val="000000" w:themeColor="text1"/>
                <w:szCs w:val="21"/>
                <w:highlight w:val="none"/>
              </w:rPr>
            </w:pPr>
            <w:r>
              <w:rPr>
                <w:rFonts w:hint="eastAsia" w:ascii="宋体" w:hAnsi="宋体" w:cs="宋体"/>
                <w:color w:val="000000" w:themeColor="text1"/>
                <w:szCs w:val="21"/>
                <w:highlight w:val="none"/>
              </w:rPr>
              <w:t>芯片容量40K,使用国产芯片,支持国密算法</w:t>
            </w:r>
          </w:p>
        </w:tc>
        <w:tc>
          <w:tcPr>
            <w:tcW w:w="1024" w:type="dxa"/>
            <w:tcBorders>
              <w:top w:val="nil"/>
              <w:left w:val="nil"/>
              <w:bottom w:val="single" w:color="auto" w:sz="4" w:space="0"/>
              <w:right w:val="single" w:color="auto" w:sz="4" w:space="0"/>
            </w:tcBorders>
            <w:vAlign w:val="center"/>
          </w:tcPr>
          <w:p>
            <w:pPr>
              <w:spacing w:line="240" w:lineRule="exact"/>
              <w:jc w:val="center"/>
              <w:rPr>
                <w:rFonts w:ascii="宋体" w:hAnsi="宋体" w:cs="宋体"/>
                <w:color w:val="000000" w:themeColor="text1"/>
                <w:szCs w:val="21"/>
                <w:highlight w:val="none"/>
              </w:rPr>
            </w:pPr>
            <w:r>
              <w:rPr>
                <w:rFonts w:hint="eastAsia" w:ascii="宋体" w:hAnsi="宋体" w:cs="宋体"/>
                <w:color w:val="000000" w:themeColor="text1"/>
                <w:szCs w:val="21"/>
                <w:highlight w:val="none"/>
              </w:rPr>
              <w:t>2</w:t>
            </w:r>
          </w:p>
        </w:tc>
        <w:tc>
          <w:tcPr>
            <w:tcW w:w="1024" w:type="dxa"/>
            <w:tcBorders>
              <w:top w:val="nil"/>
              <w:left w:val="nil"/>
              <w:bottom w:val="single" w:color="auto" w:sz="4" w:space="0"/>
              <w:right w:val="single" w:color="auto" w:sz="4" w:space="0"/>
            </w:tcBorders>
            <w:vAlign w:val="center"/>
          </w:tcPr>
          <w:p>
            <w:pPr>
              <w:spacing w:line="240" w:lineRule="exact"/>
              <w:jc w:val="center"/>
              <w:rPr>
                <w:rFonts w:ascii="宋体" w:hAnsi="宋体" w:cs="宋体"/>
                <w:color w:val="000000" w:themeColor="text1"/>
                <w:szCs w:val="21"/>
                <w:highlight w:val="none"/>
              </w:rPr>
            </w:pPr>
          </w:p>
        </w:tc>
        <w:tc>
          <w:tcPr>
            <w:tcW w:w="1024" w:type="dxa"/>
            <w:tcBorders>
              <w:top w:val="nil"/>
              <w:left w:val="nil"/>
              <w:bottom w:val="single" w:color="auto" w:sz="4" w:space="0"/>
              <w:right w:val="single" w:color="auto" w:sz="4" w:space="0"/>
            </w:tcBorders>
            <w:vAlign w:val="center"/>
          </w:tcPr>
          <w:p>
            <w:pPr>
              <w:spacing w:line="240" w:lineRule="exact"/>
              <w:jc w:val="center"/>
              <w:rPr>
                <w:rFonts w:ascii="宋体" w:hAnsi="宋体" w:cs="宋体"/>
                <w:color w:val="000000" w:themeColor="text1"/>
                <w:szCs w:val="21"/>
                <w:highlight w:val="none"/>
              </w:rPr>
            </w:pPr>
          </w:p>
        </w:tc>
      </w:tr>
      <w:tr>
        <w:tblPrEx>
          <w:tblLayout w:type="fixed"/>
          <w:tblCellMar>
            <w:top w:w="0" w:type="dxa"/>
            <w:left w:w="108" w:type="dxa"/>
            <w:bottom w:w="0" w:type="dxa"/>
            <w:right w:w="108" w:type="dxa"/>
          </w:tblCellMar>
        </w:tblPrEx>
        <w:trPr>
          <w:gridAfter w:val="2"/>
          <w:wAfter w:w="11168" w:type="dxa"/>
          <w:trHeight w:val="2010" w:hRule="atLeast"/>
        </w:trPr>
        <w:tc>
          <w:tcPr>
            <w:tcW w:w="331" w:type="dxa"/>
            <w:tcBorders>
              <w:top w:val="nil"/>
              <w:left w:val="single" w:color="auto" w:sz="4" w:space="0"/>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7</w:t>
            </w:r>
          </w:p>
        </w:tc>
        <w:tc>
          <w:tcPr>
            <w:tcW w:w="663" w:type="dxa"/>
            <w:tcBorders>
              <w:top w:val="nil"/>
              <w:left w:val="nil"/>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私人银行IC卡</w:t>
            </w:r>
          </w:p>
        </w:tc>
        <w:tc>
          <w:tcPr>
            <w:tcW w:w="2134" w:type="dxa"/>
            <w:tcBorders>
              <w:top w:val="nil"/>
              <w:left w:val="nil"/>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双界面复合卡、优质PVC材料、卡体厚度为0.82±0.02、黑色高密磁条、两面光面、凸码烫银19位银行卡号、中国银联有关规定印制标识、采购方要求印制标识。</w:t>
            </w:r>
          </w:p>
        </w:tc>
        <w:tc>
          <w:tcPr>
            <w:tcW w:w="1494" w:type="dxa"/>
            <w:tcBorders>
              <w:top w:val="nil"/>
              <w:left w:val="nil"/>
              <w:bottom w:val="single" w:color="auto" w:sz="4" w:space="0"/>
              <w:right w:val="single" w:color="auto" w:sz="4" w:space="0"/>
            </w:tcBorders>
            <w:shd w:val="clear" w:color="auto" w:fill="auto"/>
            <w:vAlign w:val="center"/>
          </w:tcPr>
          <w:p>
            <w:pPr>
              <w:spacing w:line="240" w:lineRule="exact"/>
              <w:rPr>
                <w:rFonts w:ascii="宋体" w:hAnsi="宋体" w:cs="宋体"/>
                <w:color w:val="000000" w:themeColor="text1"/>
                <w:szCs w:val="21"/>
                <w:highlight w:val="none"/>
              </w:rPr>
            </w:pPr>
            <w:r>
              <w:rPr>
                <w:rFonts w:hint="eastAsia" w:ascii="宋体" w:hAnsi="宋体" w:cs="宋体"/>
                <w:color w:val="000000" w:themeColor="text1"/>
                <w:szCs w:val="21"/>
                <w:highlight w:val="none"/>
              </w:rPr>
              <w:t>私人银行IC卡</w:t>
            </w:r>
          </w:p>
        </w:tc>
        <w:tc>
          <w:tcPr>
            <w:tcW w:w="962" w:type="dxa"/>
            <w:tcBorders>
              <w:top w:val="nil"/>
              <w:left w:val="nil"/>
              <w:bottom w:val="single" w:color="auto" w:sz="4" w:space="0"/>
              <w:right w:val="single" w:color="auto" w:sz="4" w:space="0"/>
            </w:tcBorders>
          </w:tcPr>
          <w:p>
            <w:pPr>
              <w:spacing w:line="240" w:lineRule="exact"/>
              <w:jc w:val="center"/>
              <w:rPr>
                <w:rFonts w:ascii="宋体" w:hAnsi="宋体" w:cs="宋体"/>
                <w:color w:val="000000" w:themeColor="text1"/>
                <w:szCs w:val="21"/>
                <w:highlight w:val="none"/>
              </w:rPr>
            </w:pPr>
            <w:r>
              <w:rPr>
                <w:rFonts w:hint="eastAsia" w:ascii="宋体" w:hAnsi="宋体" w:cs="宋体"/>
                <w:color w:val="000000" w:themeColor="text1"/>
                <w:szCs w:val="21"/>
                <w:highlight w:val="none"/>
              </w:rPr>
              <w:t>芯片容量40K,使用国产芯片，支持国密算法</w:t>
            </w:r>
          </w:p>
        </w:tc>
        <w:tc>
          <w:tcPr>
            <w:tcW w:w="1024" w:type="dxa"/>
            <w:tcBorders>
              <w:top w:val="nil"/>
              <w:left w:val="nil"/>
              <w:bottom w:val="single" w:color="auto" w:sz="4" w:space="0"/>
              <w:right w:val="single" w:color="auto" w:sz="4" w:space="0"/>
            </w:tcBorders>
            <w:vAlign w:val="center"/>
          </w:tcPr>
          <w:p>
            <w:pPr>
              <w:spacing w:line="240" w:lineRule="exact"/>
              <w:jc w:val="center"/>
              <w:rPr>
                <w:rFonts w:ascii="宋体" w:hAnsi="宋体" w:cs="宋体"/>
                <w:color w:val="000000" w:themeColor="text1"/>
                <w:szCs w:val="21"/>
                <w:highlight w:val="none"/>
              </w:rPr>
            </w:pPr>
            <w:r>
              <w:rPr>
                <w:rFonts w:hint="eastAsia" w:ascii="宋体" w:hAnsi="宋体" w:cs="宋体"/>
                <w:color w:val="000000" w:themeColor="text1"/>
                <w:szCs w:val="21"/>
                <w:highlight w:val="none"/>
              </w:rPr>
              <w:t>0.65</w:t>
            </w:r>
          </w:p>
        </w:tc>
        <w:tc>
          <w:tcPr>
            <w:tcW w:w="1024" w:type="dxa"/>
            <w:tcBorders>
              <w:top w:val="nil"/>
              <w:left w:val="nil"/>
              <w:bottom w:val="single" w:color="auto" w:sz="4" w:space="0"/>
              <w:right w:val="single" w:color="auto" w:sz="4" w:space="0"/>
            </w:tcBorders>
            <w:vAlign w:val="center"/>
          </w:tcPr>
          <w:p>
            <w:pPr>
              <w:spacing w:line="240" w:lineRule="exact"/>
              <w:jc w:val="center"/>
              <w:rPr>
                <w:rFonts w:ascii="宋体" w:hAnsi="宋体" w:cs="宋体"/>
                <w:color w:val="000000" w:themeColor="text1"/>
                <w:szCs w:val="21"/>
                <w:highlight w:val="none"/>
              </w:rPr>
            </w:pPr>
          </w:p>
        </w:tc>
        <w:tc>
          <w:tcPr>
            <w:tcW w:w="1024" w:type="dxa"/>
            <w:tcBorders>
              <w:top w:val="nil"/>
              <w:left w:val="nil"/>
              <w:bottom w:val="single" w:color="auto" w:sz="4" w:space="0"/>
              <w:right w:val="single" w:color="auto" w:sz="4" w:space="0"/>
            </w:tcBorders>
            <w:vAlign w:val="center"/>
          </w:tcPr>
          <w:p>
            <w:pPr>
              <w:spacing w:line="240" w:lineRule="exact"/>
              <w:jc w:val="center"/>
              <w:rPr>
                <w:rFonts w:ascii="宋体" w:hAnsi="宋体" w:cs="宋体"/>
                <w:color w:val="000000" w:themeColor="text1"/>
                <w:szCs w:val="21"/>
                <w:highlight w:val="none"/>
              </w:rPr>
            </w:pPr>
          </w:p>
        </w:tc>
      </w:tr>
      <w:tr>
        <w:tblPrEx>
          <w:tblLayout w:type="fixed"/>
          <w:tblCellMar>
            <w:top w:w="0" w:type="dxa"/>
            <w:left w:w="108" w:type="dxa"/>
            <w:bottom w:w="0" w:type="dxa"/>
            <w:right w:w="108" w:type="dxa"/>
          </w:tblCellMar>
        </w:tblPrEx>
        <w:trPr>
          <w:gridAfter w:val="2"/>
          <w:wAfter w:w="11168" w:type="dxa"/>
          <w:trHeight w:val="268" w:hRule="atLeast"/>
        </w:trPr>
        <w:tc>
          <w:tcPr>
            <w:tcW w:w="7632" w:type="dxa"/>
            <w:gridSpan w:val="7"/>
            <w:tcBorders>
              <w:top w:val="nil"/>
              <w:left w:val="single" w:color="auto" w:sz="4" w:space="0"/>
              <w:bottom w:val="single" w:color="auto" w:sz="4" w:space="0"/>
              <w:right w:val="single" w:color="auto" w:sz="4" w:space="0"/>
            </w:tcBorders>
            <w:shd w:val="clear" w:color="auto" w:fill="auto"/>
            <w:vAlign w:val="center"/>
          </w:tcPr>
          <w:p>
            <w:pPr>
              <w:spacing w:line="240" w:lineRule="exact"/>
              <w:jc w:val="center"/>
              <w:rPr>
                <w:rFonts w:ascii="宋体" w:hAnsi="宋体" w:cs="宋体"/>
                <w:color w:val="000000" w:themeColor="text1"/>
                <w:szCs w:val="21"/>
                <w:highlight w:val="none"/>
              </w:rPr>
            </w:pPr>
            <w:r>
              <w:rPr>
                <w:rFonts w:hint="eastAsia" w:ascii="宋体" w:hAnsi="宋体" w:cs="宋体"/>
                <w:color w:val="000000" w:themeColor="text1"/>
                <w:szCs w:val="21"/>
                <w:highlight w:val="none"/>
              </w:rPr>
              <w:t>合计（万元）</w:t>
            </w:r>
          </w:p>
        </w:tc>
        <w:tc>
          <w:tcPr>
            <w:tcW w:w="1024" w:type="dxa"/>
            <w:tcBorders>
              <w:top w:val="nil"/>
              <w:left w:val="nil"/>
              <w:bottom w:val="single" w:color="auto" w:sz="4" w:space="0"/>
              <w:right w:val="single" w:color="auto" w:sz="4" w:space="0"/>
            </w:tcBorders>
            <w:vAlign w:val="center"/>
          </w:tcPr>
          <w:p>
            <w:pPr>
              <w:spacing w:line="240" w:lineRule="exact"/>
              <w:jc w:val="center"/>
              <w:rPr>
                <w:rFonts w:ascii="宋体" w:hAnsi="宋体" w:cs="宋体"/>
                <w:color w:val="000000" w:themeColor="text1"/>
                <w:szCs w:val="21"/>
                <w:highlight w:val="none"/>
              </w:rPr>
            </w:pPr>
          </w:p>
        </w:tc>
      </w:tr>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 w:hRule="atLeast"/>
        </w:trPr>
        <w:tc>
          <w:tcPr>
            <w:tcW w:w="6608" w:type="dxa"/>
            <w:gridSpan w:val="6"/>
            <w:tcBorders>
              <w:top w:val="single" w:color="auto" w:sz="4" w:space="0"/>
            </w:tcBorders>
          </w:tcPr>
          <w:p>
            <w:pPr>
              <w:spacing w:line="315" w:lineRule="atLeast"/>
              <w:rPr>
                <w:rFonts w:ascii="宋体" w:hAnsi="宋体" w:cs="宋体"/>
                <w:color w:val="000000" w:themeColor="text1"/>
                <w:szCs w:val="21"/>
                <w:highlight w:val="none"/>
              </w:rPr>
            </w:pPr>
          </w:p>
        </w:tc>
        <w:tc>
          <w:tcPr>
            <w:tcW w:w="6608" w:type="dxa"/>
            <w:gridSpan w:val="3"/>
            <w:tcBorders>
              <w:top w:val="single" w:color="auto" w:sz="4" w:space="0"/>
            </w:tcBorders>
          </w:tcPr>
          <w:p>
            <w:pPr>
              <w:spacing w:line="315" w:lineRule="atLeast"/>
              <w:rPr>
                <w:rFonts w:ascii="宋体" w:hAnsi="宋体" w:cs="宋体"/>
                <w:color w:val="000000" w:themeColor="text1"/>
                <w:szCs w:val="21"/>
                <w:highlight w:val="none"/>
              </w:rPr>
            </w:pPr>
          </w:p>
        </w:tc>
        <w:tc>
          <w:tcPr>
            <w:tcW w:w="6608" w:type="dxa"/>
            <w:tcBorders>
              <w:top w:val="single" w:color="auto" w:sz="4" w:space="0"/>
            </w:tcBorders>
          </w:tcPr>
          <w:p>
            <w:pPr>
              <w:spacing w:line="315" w:lineRule="atLeast"/>
              <w:rPr>
                <w:rFonts w:ascii="宋体" w:hAnsi="宋体" w:cs="宋体"/>
                <w:color w:val="000000" w:themeColor="text1"/>
                <w:szCs w:val="21"/>
                <w:highlight w:val="none"/>
              </w:rPr>
            </w:pPr>
          </w:p>
        </w:tc>
      </w:tr>
    </w:tbl>
    <w:p>
      <w:pPr>
        <w:shd w:val="clear" w:color="auto" w:fill="FFFFFF"/>
        <w:spacing w:line="315" w:lineRule="atLeast"/>
        <w:rPr>
          <w:rFonts w:ascii="微软雅黑" w:hAnsi="微软雅黑" w:cs="宋体"/>
          <w:color w:val="000000" w:themeColor="text1"/>
          <w:szCs w:val="21"/>
          <w:highlight w:val="none"/>
        </w:rPr>
      </w:pPr>
    </w:p>
    <w:p>
      <w:pPr>
        <w:tabs>
          <w:tab w:val="left" w:pos="6300"/>
        </w:tabs>
        <w:snapToGrid w:val="0"/>
        <w:spacing w:line="280" w:lineRule="exact"/>
        <w:rPr>
          <w:rFonts w:ascii="宋体" w:hAnsi="宋体" w:eastAsia="宋体" w:cs="Times New Roman"/>
          <w:bCs/>
          <w:color w:val="000000" w:themeColor="text1"/>
          <w:sz w:val="24"/>
          <w:szCs w:val="28"/>
          <w:highlight w:val="none"/>
        </w:rPr>
      </w:pPr>
      <w:r>
        <w:rPr>
          <w:rFonts w:hint="eastAsia" w:ascii="宋体" w:hAnsi="宋体" w:eastAsia="宋体" w:cs="Times New Roman"/>
          <w:bCs/>
          <w:color w:val="000000" w:themeColor="text1"/>
          <w:sz w:val="24"/>
          <w:szCs w:val="28"/>
          <w:highlight w:val="none"/>
        </w:rPr>
        <w:t>注：如有新增卡种，根据制作工艺及芯片容量采用中标单位相关报价结算。</w:t>
      </w:r>
    </w:p>
    <w:p>
      <w:pPr>
        <w:shd w:val="clear" w:color="auto" w:fill="FFFFFF"/>
        <w:spacing w:line="315" w:lineRule="atLeast"/>
        <w:rPr>
          <w:rFonts w:ascii="微软雅黑" w:hAnsi="微软雅黑" w:cs="宋体"/>
          <w:color w:val="000000" w:themeColor="text1"/>
          <w:szCs w:val="21"/>
          <w:highlight w:val="none"/>
        </w:rPr>
      </w:pPr>
      <w:r>
        <w:rPr>
          <w:rFonts w:ascii="微软雅黑" w:hAnsi="微软雅黑" w:cs="宋体"/>
          <w:color w:val="000000" w:themeColor="text1"/>
          <w:szCs w:val="21"/>
          <w:highlight w:val="none"/>
        </w:rPr>
        <w:br w:type="page"/>
      </w:r>
    </w:p>
    <w:p>
      <w:pPr>
        <w:tabs>
          <w:tab w:val="left" w:pos="6300"/>
        </w:tabs>
        <w:snapToGrid w:val="0"/>
        <w:spacing w:line="280" w:lineRule="exact"/>
        <w:rPr>
          <w:rFonts w:ascii="宋体" w:hAnsi="宋体" w:eastAsia="宋体" w:cs="Times New Roman"/>
          <w:bCs/>
          <w:color w:val="000000" w:themeColor="text1"/>
          <w:sz w:val="24"/>
          <w:szCs w:val="28"/>
          <w:highlight w:val="none"/>
        </w:rPr>
      </w:pPr>
      <w:r>
        <w:rPr>
          <w:rFonts w:hint="eastAsia" w:ascii="宋体" w:hAnsi="宋体" w:eastAsia="宋体" w:cs="Times New Roman"/>
          <w:bCs/>
          <w:color w:val="000000" w:themeColor="text1"/>
          <w:sz w:val="24"/>
          <w:szCs w:val="28"/>
          <w:highlight w:val="none"/>
        </w:rPr>
        <w:t>二、私人银行IC卡工艺（采用高端卡款工艺，私人定制，预计采购量0.65万张）</w:t>
      </w:r>
    </w:p>
    <w:tbl>
      <w:tblPr>
        <w:tblStyle w:val="55"/>
        <w:tblW w:w="8658" w:type="dxa"/>
        <w:jc w:val="center"/>
        <w:tblInd w:w="-208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895"/>
        <w:gridCol w:w="5006"/>
        <w:gridCol w:w="856"/>
        <w:gridCol w:w="949"/>
        <w:gridCol w:w="9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05" w:hRule="atLeast"/>
          <w:jc w:val="center"/>
        </w:trPr>
        <w:tc>
          <w:tcPr>
            <w:tcW w:w="8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jc w:val="center"/>
              <w:rPr>
                <w:rFonts w:ascii="微软雅黑" w:hAnsi="微软雅黑" w:cs="宋体"/>
                <w:b/>
                <w:color w:val="000000" w:themeColor="text1"/>
                <w:szCs w:val="21"/>
                <w:highlight w:val="none"/>
              </w:rPr>
            </w:pPr>
            <w:r>
              <w:rPr>
                <w:rFonts w:hint="eastAsia" w:ascii="微软雅黑" w:hAnsi="微软雅黑" w:cs="宋体"/>
                <w:b/>
                <w:color w:val="000000" w:themeColor="text1"/>
                <w:szCs w:val="21"/>
                <w:highlight w:val="none"/>
              </w:rPr>
              <w:t>工艺名称</w:t>
            </w:r>
          </w:p>
        </w:tc>
        <w:tc>
          <w:tcPr>
            <w:tcW w:w="500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jc w:val="center"/>
              <w:rPr>
                <w:rFonts w:ascii="微软雅黑" w:hAnsi="微软雅黑" w:cs="宋体"/>
                <w:b/>
                <w:color w:val="000000" w:themeColor="text1"/>
                <w:szCs w:val="21"/>
                <w:highlight w:val="none"/>
              </w:rPr>
            </w:pPr>
            <w:r>
              <w:rPr>
                <w:rFonts w:hint="eastAsia" w:ascii="微软雅黑" w:hAnsi="微软雅黑" w:cs="宋体"/>
                <w:b/>
                <w:color w:val="000000" w:themeColor="text1"/>
                <w:szCs w:val="21"/>
                <w:highlight w:val="none"/>
              </w:rPr>
              <w:t>工艺描述</w:t>
            </w:r>
          </w:p>
        </w:tc>
        <w:tc>
          <w:tcPr>
            <w:tcW w:w="8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jc w:val="center"/>
              <w:rPr>
                <w:rFonts w:ascii="微软雅黑" w:hAnsi="微软雅黑" w:cs="宋体"/>
                <w:b/>
                <w:color w:val="000000" w:themeColor="text1"/>
                <w:szCs w:val="21"/>
                <w:highlight w:val="none"/>
              </w:rPr>
            </w:pPr>
            <w:r>
              <w:rPr>
                <w:rFonts w:hint="eastAsia" w:ascii="宋体" w:hAnsi="宋体" w:cs="宋体"/>
                <w:b/>
                <w:color w:val="000000" w:themeColor="text1"/>
                <w:sz w:val="18"/>
                <w:szCs w:val="18"/>
                <w:highlight w:val="none"/>
              </w:rPr>
              <w:t>工艺单价（元/张）</w:t>
            </w:r>
          </w:p>
        </w:tc>
        <w:tc>
          <w:tcPr>
            <w:tcW w:w="94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jc w:val="center"/>
              <w:rPr>
                <w:rFonts w:ascii="宋体" w:hAnsi="宋体" w:cs="宋体"/>
                <w:b/>
                <w:color w:val="000000" w:themeColor="text1"/>
                <w:sz w:val="18"/>
                <w:szCs w:val="18"/>
                <w:highlight w:val="none"/>
              </w:rPr>
            </w:pPr>
            <w:r>
              <w:rPr>
                <w:rFonts w:hint="eastAsia" w:ascii="宋体" w:hAnsi="宋体" w:cs="宋体"/>
                <w:b/>
                <w:color w:val="000000" w:themeColor="text1"/>
                <w:sz w:val="18"/>
                <w:szCs w:val="18"/>
                <w:highlight w:val="none"/>
              </w:rPr>
              <w:t>各工艺单价的算术</w:t>
            </w:r>
          </w:p>
          <w:p>
            <w:pPr>
              <w:shd w:val="clear" w:color="auto" w:fill="FFFFFF"/>
              <w:spacing w:line="315" w:lineRule="atLeast"/>
              <w:jc w:val="center"/>
              <w:rPr>
                <w:rFonts w:ascii="宋体" w:hAnsi="宋体" w:cs="宋体"/>
                <w:b/>
                <w:color w:val="000000" w:themeColor="text1"/>
                <w:sz w:val="36"/>
                <w:szCs w:val="36"/>
                <w:highlight w:val="none"/>
              </w:rPr>
            </w:pPr>
            <w:r>
              <w:rPr>
                <w:rFonts w:hint="eastAsia" w:ascii="宋体" w:hAnsi="宋体" w:cs="宋体"/>
                <w:b/>
                <w:color w:val="000000" w:themeColor="text1"/>
                <w:sz w:val="18"/>
                <w:szCs w:val="18"/>
                <w:highlight w:val="none"/>
              </w:rPr>
              <w:t>平均值</w:t>
            </w:r>
            <w:r>
              <w:rPr>
                <w:rFonts w:hint="eastAsia" w:ascii="宋体" w:hAnsi="宋体" w:cs="宋体"/>
                <w:b/>
                <w:color w:val="000000" w:themeColor="text1"/>
                <w:sz w:val="36"/>
                <w:szCs w:val="36"/>
                <w:highlight w:val="none"/>
              </w:rPr>
              <w:t>*4</w:t>
            </w:r>
          </w:p>
          <w:p>
            <w:pPr>
              <w:shd w:val="clear" w:color="auto" w:fill="FFFFFF"/>
              <w:spacing w:line="315" w:lineRule="atLeast"/>
              <w:jc w:val="center"/>
              <w:rPr>
                <w:rFonts w:ascii="微软雅黑" w:hAnsi="微软雅黑" w:cs="宋体"/>
                <w:b/>
                <w:color w:val="000000" w:themeColor="text1"/>
                <w:szCs w:val="21"/>
                <w:highlight w:val="none"/>
              </w:rPr>
            </w:pPr>
            <w:r>
              <w:rPr>
                <w:rFonts w:hint="eastAsia" w:ascii="宋体" w:hAnsi="宋体" w:cs="宋体"/>
                <w:b/>
                <w:color w:val="000000" w:themeColor="text1"/>
                <w:sz w:val="18"/>
                <w:szCs w:val="18"/>
                <w:highlight w:val="none"/>
              </w:rPr>
              <w:t>（元/张）</w:t>
            </w:r>
          </w:p>
        </w:tc>
        <w:tc>
          <w:tcPr>
            <w:tcW w:w="95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jc w:val="center"/>
              <w:rPr>
                <w:rFonts w:ascii="宋体" w:hAnsi="宋体" w:cs="宋体"/>
                <w:b/>
                <w:color w:val="000000" w:themeColor="text1"/>
                <w:sz w:val="18"/>
                <w:szCs w:val="18"/>
                <w:highlight w:val="none"/>
              </w:rPr>
            </w:pPr>
            <w:r>
              <w:rPr>
                <w:rFonts w:hint="eastAsia" w:ascii="宋体" w:hAnsi="宋体" w:cs="宋体"/>
                <w:b/>
                <w:color w:val="000000" w:themeColor="text1"/>
                <w:sz w:val="18"/>
                <w:szCs w:val="18"/>
                <w:highlight w:val="none"/>
              </w:rPr>
              <w:t>预计采购量</w:t>
            </w:r>
          </w:p>
          <w:p>
            <w:pPr>
              <w:shd w:val="clear" w:color="auto" w:fill="FFFFFF"/>
              <w:spacing w:line="315" w:lineRule="atLeast"/>
              <w:jc w:val="center"/>
              <w:rPr>
                <w:rFonts w:ascii="宋体" w:hAnsi="宋体" w:cs="宋体"/>
                <w:b/>
                <w:color w:val="000000" w:themeColor="text1"/>
                <w:sz w:val="18"/>
                <w:szCs w:val="18"/>
                <w:highlight w:val="none"/>
              </w:rPr>
            </w:pPr>
            <w:r>
              <w:rPr>
                <w:rFonts w:hint="eastAsia" w:ascii="宋体" w:hAnsi="宋体" w:cs="宋体"/>
                <w:b/>
                <w:color w:val="000000" w:themeColor="text1"/>
                <w:sz w:val="18"/>
                <w:szCs w:val="18"/>
                <w:highlight w:val="none"/>
              </w:rPr>
              <w:t>（万张）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05" w:hRule="atLeast"/>
          <w:jc w:val="center"/>
        </w:trPr>
        <w:tc>
          <w:tcPr>
            <w:tcW w:w="8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jc w:val="center"/>
              <w:rPr>
                <w:rFonts w:ascii="微软雅黑" w:hAnsi="微软雅黑" w:cs="宋体"/>
                <w:b/>
                <w:color w:val="000000" w:themeColor="text1"/>
                <w:szCs w:val="21"/>
                <w:highlight w:val="none"/>
              </w:rPr>
            </w:pPr>
            <w:r>
              <w:rPr>
                <w:rFonts w:ascii="微软雅黑" w:hAnsi="微软雅黑" w:cs="宋体"/>
                <w:b/>
                <w:color w:val="000000" w:themeColor="text1"/>
                <w:szCs w:val="21"/>
                <w:highlight w:val="none"/>
              </w:rPr>
              <w:t>珠光</w:t>
            </w:r>
            <w:r>
              <w:rPr>
                <w:rFonts w:hint="eastAsia" w:ascii="微软雅黑" w:hAnsi="微软雅黑" w:cs="宋体"/>
                <w:b/>
                <w:color w:val="000000" w:themeColor="text1"/>
                <w:szCs w:val="21"/>
                <w:highlight w:val="none"/>
              </w:rPr>
              <w:t>工艺</w:t>
            </w:r>
          </w:p>
        </w:tc>
        <w:tc>
          <w:tcPr>
            <w:tcW w:w="500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r>
              <w:rPr>
                <w:rFonts w:ascii="微软雅黑" w:hAnsi="微软雅黑" w:cs="宋体"/>
                <w:b/>
                <w:color w:val="000000" w:themeColor="text1"/>
                <w:szCs w:val="21"/>
                <w:highlight w:val="none"/>
              </w:rPr>
              <w:t>珠光油墨与四色印刷相结合，整版或局部使用，使版面效果有金属颗粒感</w:t>
            </w:r>
            <w:r>
              <w:rPr>
                <w:rFonts w:hint="eastAsia" w:ascii="微软雅黑" w:hAnsi="微软雅黑" w:cs="宋体"/>
                <w:b/>
                <w:color w:val="000000" w:themeColor="text1"/>
                <w:szCs w:val="21"/>
                <w:highlight w:val="none"/>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p>
        </w:tc>
        <w:tc>
          <w:tcPr>
            <w:tcW w:w="949" w:type="dxa"/>
            <w:vMerge w:val="restart"/>
            <w:tcBorders>
              <w:top w:val="single" w:color="000000" w:sz="4" w:space="0"/>
              <w:left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p>
        </w:tc>
        <w:tc>
          <w:tcPr>
            <w:tcW w:w="952" w:type="dxa"/>
            <w:vMerge w:val="restart"/>
            <w:tcBorders>
              <w:top w:val="single" w:color="000000" w:sz="4" w:space="0"/>
              <w:left w:val="single" w:color="000000" w:sz="4" w:space="0"/>
              <w:right w:val="single" w:color="000000" w:sz="4" w:space="0"/>
            </w:tcBorders>
            <w:shd w:val="clear" w:color="auto" w:fill="FFFFFF" w:themeFill="background1"/>
            <w:vAlign w:val="center"/>
          </w:tcPr>
          <w:p>
            <w:pPr>
              <w:shd w:val="clear" w:color="auto" w:fill="FFFFFF"/>
              <w:spacing w:line="315" w:lineRule="atLeast"/>
              <w:jc w:val="center"/>
              <w:rPr>
                <w:rFonts w:ascii="微软雅黑" w:hAnsi="微软雅黑" w:cs="宋体"/>
                <w:b/>
                <w:color w:val="000000" w:themeColor="text1"/>
                <w:szCs w:val="21"/>
                <w:highlight w:val="none"/>
              </w:rPr>
            </w:pPr>
            <w:r>
              <w:rPr>
                <w:rFonts w:hint="eastAsia" w:ascii="宋体" w:hAnsi="宋体" w:cs="宋体"/>
                <w:b/>
                <w:color w:val="000000" w:themeColor="text1"/>
                <w:sz w:val="18"/>
                <w:szCs w:val="18"/>
                <w:highlight w:val="none"/>
              </w:rPr>
              <w:t>0.65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05" w:hRule="atLeast"/>
          <w:jc w:val="center"/>
        </w:trPr>
        <w:tc>
          <w:tcPr>
            <w:tcW w:w="8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jc w:val="center"/>
              <w:rPr>
                <w:rFonts w:ascii="微软雅黑" w:hAnsi="微软雅黑" w:cs="宋体"/>
                <w:b/>
                <w:color w:val="000000" w:themeColor="text1"/>
                <w:szCs w:val="21"/>
                <w:highlight w:val="none"/>
              </w:rPr>
            </w:pPr>
            <w:r>
              <w:rPr>
                <w:rFonts w:ascii="微软雅黑" w:hAnsi="微软雅黑" w:cs="宋体"/>
                <w:b/>
                <w:color w:val="000000" w:themeColor="text1"/>
                <w:szCs w:val="21"/>
                <w:highlight w:val="none"/>
              </w:rPr>
              <w:t>浮雕</w:t>
            </w:r>
            <w:r>
              <w:rPr>
                <w:rFonts w:hint="eastAsia" w:ascii="微软雅黑" w:hAnsi="微软雅黑" w:cs="宋体"/>
                <w:b/>
                <w:color w:val="000000" w:themeColor="text1"/>
                <w:szCs w:val="21"/>
                <w:highlight w:val="none"/>
              </w:rPr>
              <w:t>工艺</w:t>
            </w:r>
          </w:p>
        </w:tc>
        <w:tc>
          <w:tcPr>
            <w:tcW w:w="500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r>
              <w:rPr>
                <w:rFonts w:ascii="微软雅黑" w:hAnsi="微软雅黑" w:cs="宋体"/>
                <w:b/>
                <w:color w:val="000000" w:themeColor="text1"/>
                <w:szCs w:val="21"/>
                <w:highlight w:val="none"/>
              </w:rPr>
              <w:t>利用特殊的材料并结合特殊的生产工艺，使卡面上的图形图案具有浮雕凸起的触感，使得画面设计立体真实</w:t>
            </w:r>
            <w:r>
              <w:rPr>
                <w:rFonts w:hint="eastAsia" w:ascii="微软雅黑" w:hAnsi="微软雅黑" w:cs="宋体"/>
                <w:b/>
                <w:color w:val="000000" w:themeColor="text1"/>
                <w:szCs w:val="21"/>
                <w:highlight w:val="none"/>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p>
        </w:tc>
        <w:tc>
          <w:tcPr>
            <w:tcW w:w="949" w:type="dxa"/>
            <w:vMerge w:val="continue"/>
            <w:tcBorders>
              <w:left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p>
        </w:tc>
        <w:tc>
          <w:tcPr>
            <w:tcW w:w="952" w:type="dxa"/>
            <w:vMerge w:val="continue"/>
            <w:tcBorders>
              <w:left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05" w:hRule="atLeast"/>
          <w:jc w:val="center"/>
        </w:trPr>
        <w:tc>
          <w:tcPr>
            <w:tcW w:w="8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jc w:val="center"/>
              <w:rPr>
                <w:rFonts w:ascii="微软雅黑" w:hAnsi="微软雅黑" w:cs="宋体"/>
                <w:b/>
                <w:color w:val="000000" w:themeColor="text1"/>
                <w:szCs w:val="21"/>
                <w:highlight w:val="none"/>
              </w:rPr>
            </w:pPr>
            <w:r>
              <w:rPr>
                <w:rFonts w:hint="eastAsia" w:ascii="微软雅黑" w:hAnsi="微软雅黑" w:cs="宋体"/>
                <w:b/>
                <w:color w:val="000000" w:themeColor="text1"/>
                <w:szCs w:val="21"/>
                <w:highlight w:val="none"/>
              </w:rPr>
              <w:t>烫印工艺</w:t>
            </w:r>
          </w:p>
        </w:tc>
        <w:tc>
          <w:tcPr>
            <w:tcW w:w="500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r>
              <w:rPr>
                <w:rFonts w:hint="eastAsia" w:ascii="微软雅黑" w:hAnsi="微软雅黑" w:cs="宋体"/>
                <w:b/>
                <w:color w:val="000000" w:themeColor="text1"/>
                <w:szCs w:val="21"/>
                <w:highlight w:val="none"/>
              </w:rPr>
              <w:t>利用不同图案的模具，通过高温把烫印材料转移到标准卡表面，卡片上烫印金、银箔料。</w:t>
            </w:r>
          </w:p>
        </w:tc>
        <w:tc>
          <w:tcPr>
            <w:tcW w:w="8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p>
        </w:tc>
        <w:tc>
          <w:tcPr>
            <w:tcW w:w="949" w:type="dxa"/>
            <w:vMerge w:val="continue"/>
            <w:tcBorders>
              <w:left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p>
        </w:tc>
        <w:tc>
          <w:tcPr>
            <w:tcW w:w="952" w:type="dxa"/>
            <w:vMerge w:val="continue"/>
            <w:tcBorders>
              <w:left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05" w:hRule="atLeast"/>
          <w:jc w:val="center"/>
        </w:trPr>
        <w:tc>
          <w:tcPr>
            <w:tcW w:w="8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jc w:val="center"/>
              <w:rPr>
                <w:rFonts w:ascii="微软雅黑" w:hAnsi="微软雅黑" w:cs="宋体"/>
                <w:b/>
                <w:color w:val="000000" w:themeColor="text1"/>
                <w:szCs w:val="21"/>
                <w:highlight w:val="none"/>
              </w:rPr>
            </w:pPr>
            <w:r>
              <w:rPr>
                <w:rFonts w:ascii="微软雅黑" w:hAnsi="微软雅黑" w:cs="宋体"/>
                <w:b/>
                <w:color w:val="000000" w:themeColor="text1"/>
                <w:szCs w:val="21"/>
                <w:highlight w:val="none"/>
              </w:rPr>
              <w:t>镭射烫印</w:t>
            </w:r>
          </w:p>
        </w:tc>
        <w:tc>
          <w:tcPr>
            <w:tcW w:w="500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r>
              <w:rPr>
                <w:rFonts w:ascii="微软雅黑" w:hAnsi="微软雅黑" w:cs="宋体"/>
                <w:b/>
                <w:color w:val="000000" w:themeColor="text1"/>
                <w:szCs w:val="21"/>
                <w:highlight w:val="none"/>
              </w:rPr>
              <w:t>利用不同图案的模具，通过高温把烫印材料转移到标准卡表面，呈七彩色。</w:t>
            </w:r>
          </w:p>
        </w:tc>
        <w:tc>
          <w:tcPr>
            <w:tcW w:w="8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p>
        </w:tc>
        <w:tc>
          <w:tcPr>
            <w:tcW w:w="949" w:type="dxa"/>
            <w:vMerge w:val="continue"/>
            <w:tcBorders>
              <w:left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p>
        </w:tc>
        <w:tc>
          <w:tcPr>
            <w:tcW w:w="952" w:type="dxa"/>
            <w:vMerge w:val="continue"/>
            <w:tcBorders>
              <w:left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05" w:hRule="atLeast"/>
          <w:jc w:val="center"/>
        </w:trPr>
        <w:tc>
          <w:tcPr>
            <w:tcW w:w="8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jc w:val="center"/>
              <w:rPr>
                <w:rFonts w:ascii="微软雅黑" w:hAnsi="微软雅黑" w:cs="宋体"/>
                <w:b/>
                <w:color w:val="000000" w:themeColor="text1"/>
                <w:szCs w:val="21"/>
                <w:highlight w:val="none"/>
              </w:rPr>
            </w:pPr>
            <w:r>
              <w:rPr>
                <w:rFonts w:ascii="微软雅黑" w:hAnsi="微软雅黑" w:cs="宋体"/>
                <w:b/>
                <w:color w:val="000000" w:themeColor="text1"/>
                <w:szCs w:val="21"/>
                <w:highlight w:val="none"/>
              </w:rPr>
              <w:t>彩色磁条</w:t>
            </w:r>
          </w:p>
        </w:tc>
        <w:tc>
          <w:tcPr>
            <w:tcW w:w="500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r>
              <w:rPr>
                <w:rFonts w:ascii="微软雅黑" w:hAnsi="微软雅黑" w:cs="宋体"/>
                <w:b/>
                <w:color w:val="000000" w:themeColor="text1"/>
                <w:szCs w:val="21"/>
                <w:highlight w:val="none"/>
              </w:rPr>
              <w:t>磁条颜色可选金/银/红/蓝/绿等</w:t>
            </w:r>
            <w:r>
              <w:rPr>
                <w:rFonts w:hint="eastAsia" w:ascii="微软雅黑" w:hAnsi="微软雅黑" w:cs="宋体"/>
                <w:b/>
                <w:color w:val="000000" w:themeColor="text1"/>
                <w:szCs w:val="21"/>
                <w:highlight w:val="none"/>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p>
        </w:tc>
        <w:tc>
          <w:tcPr>
            <w:tcW w:w="949" w:type="dxa"/>
            <w:vMerge w:val="continue"/>
            <w:tcBorders>
              <w:left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p>
        </w:tc>
        <w:tc>
          <w:tcPr>
            <w:tcW w:w="952" w:type="dxa"/>
            <w:vMerge w:val="continue"/>
            <w:tcBorders>
              <w:left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05" w:hRule="atLeast"/>
          <w:jc w:val="center"/>
        </w:trPr>
        <w:tc>
          <w:tcPr>
            <w:tcW w:w="8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jc w:val="center"/>
              <w:rPr>
                <w:rFonts w:ascii="微软雅黑" w:hAnsi="微软雅黑" w:cs="宋体"/>
                <w:b/>
                <w:color w:val="000000" w:themeColor="text1"/>
                <w:szCs w:val="21"/>
                <w:highlight w:val="none"/>
              </w:rPr>
            </w:pPr>
            <w:r>
              <w:rPr>
                <w:rFonts w:ascii="微软雅黑" w:hAnsi="微软雅黑" w:cs="宋体"/>
                <w:b/>
                <w:color w:val="000000" w:themeColor="text1"/>
                <w:szCs w:val="21"/>
                <w:highlight w:val="none"/>
              </w:rPr>
              <w:t>隐形磁条</w:t>
            </w:r>
          </w:p>
        </w:tc>
        <w:tc>
          <w:tcPr>
            <w:tcW w:w="500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r>
              <w:rPr>
                <w:rFonts w:ascii="微软雅黑" w:hAnsi="微软雅黑" w:cs="宋体"/>
                <w:b/>
                <w:color w:val="000000" w:themeColor="text1"/>
                <w:szCs w:val="21"/>
                <w:highlight w:val="none"/>
              </w:rPr>
              <w:t>采用特殊油墨覆盖磁条，不影响磁条的读写效果或卡面的设计效果。</w:t>
            </w:r>
          </w:p>
        </w:tc>
        <w:tc>
          <w:tcPr>
            <w:tcW w:w="8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p>
        </w:tc>
        <w:tc>
          <w:tcPr>
            <w:tcW w:w="949" w:type="dxa"/>
            <w:vMerge w:val="continue"/>
            <w:tcBorders>
              <w:left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p>
        </w:tc>
        <w:tc>
          <w:tcPr>
            <w:tcW w:w="952" w:type="dxa"/>
            <w:vMerge w:val="continue"/>
            <w:tcBorders>
              <w:left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05" w:hRule="atLeast"/>
          <w:jc w:val="center"/>
        </w:trPr>
        <w:tc>
          <w:tcPr>
            <w:tcW w:w="8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jc w:val="center"/>
              <w:rPr>
                <w:rFonts w:ascii="微软雅黑" w:hAnsi="微软雅黑" w:cs="宋体"/>
                <w:b/>
                <w:color w:val="000000" w:themeColor="text1"/>
                <w:szCs w:val="21"/>
                <w:highlight w:val="none"/>
              </w:rPr>
            </w:pPr>
            <w:r>
              <w:rPr>
                <w:rFonts w:hint="eastAsia" w:ascii="微软雅黑" w:hAnsi="微软雅黑" w:cs="宋体"/>
                <w:b/>
                <w:color w:val="000000" w:themeColor="text1"/>
                <w:szCs w:val="21"/>
                <w:highlight w:val="none"/>
              </w:rPr>
              <w:t>内置立体</w:t>
            </w:r>
          </w:p>
        </w:tc>
        <w:tc>
          <w:tcPr>
            <w:tcW w:w="500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r>
              <w:rPr>
                <w:rFonts w:hint="eastAsia" w:ascii="微软雅黑" w:hAnsi="微软雅黑" w:cs="宋体"/>
                <w:b/>
                <w:color w:val="000000" w:themeColor="text1"/>
                <w:szCs w:val="21"/>
                <w:highlight w:val="none"/>
              </w:rPr>
              <w:t>内置立体工艺：采用普通材料，通过特殊油墨，对指定图案，制作出卡内带有视觉立体效果（即视觉上有凹凸效果，但触感并无凹凸感）。</w:t>
            </w:r>
          </w:p>
        </w:tc>
        <w:tc>
          <w:tcPr>
            <w:tcW w:w="8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p>
        </w:tc>
        <w:tc>
          <w:tcPr>
            <w:tcW w:w="949" w:type="dxa"/>
            <w:vMerge w:val="continue"/>
            <w:tcBorders>
              <w:left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p>
        </w:tc>
        <w:tc>
          <w:tcPr>
            <w:tcW w:w="952" w:type="dxa"/>
            <w:vMerge w:val="continue"/>
            <w:tcBorders>
              <w:left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05" w:hRule="atLeast"/>
          <w:jc w:val="center"/>
        </w:trPr>
        <w:tc>
          <w:tcPr>
            <w:tcW w:w="8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jc w:val="center"/>
              <w:rPr>
                <w:rFonts w:ascii="微软雅黑" w:hAnsi="微软雅黑" w:cs="宋体"/>
                <w:b/>
                <w:color w:val="000000" w:themeColor="text1"/>
                <w:szCs w:val="21"/>
                <w:highlight w:val="none"/>
              </w:rPr>
            </w:pPr>
            <w:r>
              <w:rPr>
                <w:rFonts w:ascii="微软雅黑" w:hAnsi="微软雅黑" w:cs="宋体"/>
                <w:b/>
                <w:color w:val="000000" w:themeColor="text1"/>
                <w:szCs w:val="21"/>
                <w:highlight w:val="none"/>
              </w:rPr>
              <w:t>多层立体效果</w:t>
            </w:r>
          </w:p>
        </w:tc>
        <w:tc>
          <w:tcPr>
            <w:tcW w:w="500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r>
              <w:rPr>
                <w:rFonts w:ascii="微软雅黑" w:hAnsi="微软雅黑" w:cs="宋体"/>
                <w:b/>
                <w:color w:val="000000" w:themeColor="text1"/>
                <w:szCs w:val="21"/>
                <w:highlight w:val="none"/>
              </w:rPr>
              <w:t>在有限的卡体厚度下利用卡片结构的层次差，形成立体效果。</w:t>
            </w:r>
          </w:p>
        </w:tc>
        <w:tc>
          <w:tcPr>
            <w:tcW w:w="8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p>
        </w:tc>
        <w:tc>
          <w:tcPr>
            <w:tcW w:w="949" w:type="dxa"/>
            <w:vMerge w:val="continue"/>
            <w:tcBorders>
              <w:left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p>
        </w:tc>
        <w:tc>
          <w:tcPr>
            <w:tcW w:w="952" w:type="dxa"/>
            <w:vMerge w:val="continue"/>
            <w:tcBorders>
              <w:left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05" w:hRule="atLeast"/>
          <w:jc w:val="center"/>
        </w:trPr>
        <w:tc>
          <w:tcPr>
            <w:tcW w:w="8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jc w:val="center"/>
              <w:rPr>
                <w:rFonts w:ascii="微软雅黑" w:hAnsi="微软雅黑" w:cs="宋体"/>
                <w:b/>
                <w:color w:val="000000" w:themeColor="text1"/>
                <w:szCs w:val="21"/>
                <w:highlight w:val="none"/>
              </w:rPr>
            </w:pPr>
            <w:r>
              <w:rPr>
                <w:rFonts w:hint="eastAsia" w:ascii="微软雅黑" w:hAnsi="微软雅黑" w:cs="宋体"/>
                <w:b/>
                <w:color w:val="000000" w:themeColor="text1"/>
                <w:szCs w:val="21"/>
                <w:highlight w:val="none"/>
              </w:rPr>
              <w:t>全息立体效果</w:t>
            </w:r>
          </w:p>
        </w:tc>
        <w:tc>
          <w:tcPr>
            <w:tcW w:w="500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r>
              <w:rPr>
                <w:rFonts w:hint="eastAsia" w:ascii="微软雅黑" w:hAnsi="微软雅黑" w:cs="宋体"/>
                <w:b/>
                <w:color w:val="000000" w:themeColor="text1"/>
                <w:szCs w:val="21"/>
                <w:highlight w:val="none"/>
              </w:rPr>
              <w:t>利用不同图案的模具，通过高温把全息立体材料转移到标准卡表面，卡片呈极强的金属、立体效果。</w:t>
            </w:r>
          </w:p>
        </w:tc>
        <w:tc>
          <w:tcPr>
            <w:tcW w:w="8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p>
        </w:tc>
        <w:tc>
          <w:tcPr>
            <w:tcW w:w="949" w:type="dxa"/>
            <w:vMerge w:val="continue"/>
            <w:tcBorders>
              <w:left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p>
        </w:tc>
        <w:tc>
          <w:tcPr>
            <w:tcW w:w="952" w:type="dxa"/>
            <w:vMerge w:val="continue"/>
            <w:tcBorders>
              <w:left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05" w:hRule="atLeast"/>
          <w:jc w:val="center"/>
        </w:trPr>
        <w:tc>
          <w:tcPr>
            <w:tcW w:w="8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jc w:val="center"/>
              <w:rPr>
                <w:rFonts w:ascii="微软雅黑" w:hAnsi="微软雅黑" w:cs="宋体"/>
                <w:b/>
                <w:color w:val="000000" w:themeColor="text1"/>
                <w:szCs w:val="21"/>
                <w:highlight w:val="none"/>
              </w:rPr>
            </w:pPr>
            <w:r>
              <w:rPr>
                <w:rFonts w:hint="eastAsia" w:ascii="微软雅黑" w:hAnsi="微软雅黑" w:cs="宋体"/>
                <w:b/>
                <w:color w:val="000000" w:themeColor="text1"/>
                <w:szCs w:val="21"/>
                <w:highlight w:val="none"/>
              </w:rPr>
              <w:t>立体纹路卡</w:t>
            </w:r>
          </w:p>
        </w:tc>
        <w:tc>
          <w:tcPr>
            <w:tcW w:w="500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r>
              <w:rPr>
                <w:rFonts w:hint="eastAsia" w:ascii="微软雅黑" w:hAnsi="微软雅黑" w:cs="宋体"/>
                <w:b/>
                <w:color w:val="000000" w:themeColor="text1"/>
                <w:szCs w:val="21"/>
                <w:highlight w:val="none"/>
              </w:rPr>
              <w:t>卡片表面覆一层特殊的膜（水立方膜、拉丝膜等），使卡片有立体纹路效果。</w:t>
            </w:r>
          </w:p>
        </w:tc>
        <w:tc>
          <w:tcPr>
            <w:tcW w:w="8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p>
        </w:tc>
        <w:tc>
          <w:tcPr>
            <w:tcW w:w="949" w:type="dxa"/>
            <w:vMerge w:val="continue"/>
            <w:tcBorders>
              <w:left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p>
        </w:tc>
        <w:tc>
          <w:tcPr>
            <w:tcW w:w="952" w:type="dxa"/>
            <w:vMerge w:val="continue"/>
            <w:tcBorders>
              <w:left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05" w:hRule="atLeast"/>
          <w:jc w:val="center"/>
        </w:trPr>
        <w:tc>
          <w:tcPr>
            <w:tcW w:w="8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jc w:val="center"/>
              <w:rPr>
                <w:rFonts w:ascii="微软雅黑" w:hAnsi="微软雅黑" w:cs="宋体"/>
                <w:b/>
                <w:color w:val="000000" w:themeColor="text1"/>
                <w:szCs w:val="21"/>
                <w:highlight w:val="none"/>
              </w:rPr>
            </w:pPr>
            <w:r>
              <w:rPr>
                <w:rFonts w:ascii="微软雅黑" w:hAnsi="微软雅黑" w:cs="宋体"/>
                <w:b/>
                <w:color w:val="000000" w:themeColor="text1"/>
                <w:szCs w:val="21"/>
                <w:highlight w:val="none"/>
              </w:rPr>
              <w:t>贝壳工艺</w:t>
            </w:r>
          </w:p>
        </w:tc>
        <w:tc>
          <w:tcPr>
            <w:tcW w:w="500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r>
              <w:rPr>
                <w:rFonts w:ascii="微软雅黑" w:hAnsi="微软雅黑" w:cs="宋体"/>
                <w:b/>
                <w:color w:val="000000" w:themeColor="text1"/>
                <w:szCs w:val="21"/>
                <w:highlight w:val="none"/>
              </w:rPr>
              <w:t>利用立体闪炫贝壳纹理来呈现卡片的时尚元素，更在设计中充分讲究了图案和色彩的完美结合。用于增强卡片版面主体图案或线条的彩色纹理效果</w:t>
            </w:r>
          </w:p>
        </w:tc>
        <w:tc>
          <w:tcPr>
            <w:tcW w:w="8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p>
        </w:tc>
        <w:tc>
          <w:tcPr>
            <w:tcW w:w="949" w:type="dxa"/>
            <w:vMerge w:val="continue"/>
            <w:tcBorders>
              <w:left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p>
        </w:tc>
        <w:tc>
          <w:tcPr>
            <w:tcW w:w="952" w:type="dxa"/>
            <w:vMerge w:val="continue"/>
            <w:tcBorders>
              <w:left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05" w:hRule="atLeast"/>
          <w:jc w:val="center"/>
        </w:trPr>
        <w:tc>
          <w:tcPr>
            <w:tcW w:w="8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jc w:val="center"/>
              <w:rPr>
                <w:rFonts w:ascii="微软雅黑" w:hAnsi="微软雅黑" w:cs="宋体"/>
                <w:b/>
                <w:color w:val="000000" w:themeColor="text1"/>
                <w:szCs w:val="21"/>
                <w:highlight w:val="none"/>
              </w:rPr>
            </w:pPr>
            <w:r>
              <w:rPr>
                <w:rFonts w:ascii="微软雅黑" w:hAnsi="微软雅黑" w:cs="宋体"/>
                <w:b/>
                <w:color w:val="000000" w:themeColor="text1"/>
                <w:szCs w:val="21"/>
                <w:highlight w:val="none"/>
              </w:rPr>
              <w:t>立金</w:t>
            </w:r>
          </w:p>
        </w:tc>
        <w:tc>
          <w:tcPr>
            <w:tcW w:w="500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r>
              <w:rPr>
                <w:rFonts w:ascii="微软雅黑" w:hAnsi="微软雅黑" w:cs="宋体"/>
                <w:b/>
                <w:color w:val="000000" w:themeColor="text1"/>
                <w:szCs w:val="21"/>
                <w:highlight w:val="none"/>
              </w:rPr>
              <w:t>卡片内层嵌入金属材料，根据设计图案定制。</w:t>
            </w:r>
          </w:p>
        </w:tc>
        <w:tc>
          <w:tcPr>
            <w:tcW w:w="8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p>
        </w:tc>
        <w:tc>
          <w:tcPr>
            <w:tcW w:w="949" w:type="dxa"/>
            <w:vMerge w:val="continue"/>
            <w:tcBorders>
              <w:left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p>
        </w:tc>
        <w:tc>
          <w:tcPr>
            <w:tcW w:w="952" w:type="dxa"/>
            <w:vMerge w:val="continue"/>
            <w:tcBorders>
              <w:left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05" w:hRule="atLeast"/>
          <w:jc w:val="center"/>
        </w:trPr>
        <w:tc>
          <w:tcPr>
            <w:tcW w:w="8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jc w:val="center"/>
              <w:rPr>
                <w:rFonts w:ascii="微软雅黑" w:hAnsi="微软雅黑" w:cs="宋体"/>
                <w:b/>
                <w:color w:val="000000" w:themeColor="text1"/>
                <w:szCs w:val="21"/>
                <w:highlight w:val="none"/>
              </w:rPr>
            </w:pPr>
            <w:r>
              <w:rPr>
                <w:rFonts w:hint="eastAsia" w:ascii="微软雅黑" w:hAnsi="微软雅黑" w:cs="宋体"/>
                <w:b/>
                <w:color w:val="000000" w:themeColor="text1"/>
                <w:szCs w:val="21"/>
                <w:highlight w:val="none"/>
              </w:rPr>
              <w:t>镭射片材</w:t>
            </w:r>
          </w:p>
          <w:p>
            <w:pPr>
              <w:shd w:val="clear" w:color="auto" w:fill="FFFFFF"/>
              <w:spacing w:line="315" w:lineRule="atLeast"/>
              <w:jc w:val="center"/>
              <w:rPr>
                <w:rFonts w:ascii="微软雅黑" w:hAnsi="微软雅黑" w:cs="宋体"/>
                <w:b/>
                <w:color w:val="000000" w:themeColor="text1"/>
                <w:szCs w:val="21"/>
                <w:highlight w:val="none"/>
              </w:rPr>
            </w:pPr>
            <w:r>
              <w:rPr>
                <w:rFonts w:hint="eastAsia" w:ascii="微软雅黑" w:hAnsi="微软雅黑" w:cs="宋体"/>
                <w:b/>
                <w:color w:val="000000" w:themeColor="text1"/>
                <w:szCs w:val="21"/>
                <w:highlight w:val="none"/>
              </w:rPr>
              <w:t>（镜面效果）</w:t>
            </w:r>
          </w:p>
        </w:tc>
        <w:tc>
          <w:tcPr>
            <w:tcW w:w="500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r>
              <w:rPr>
                <w:rFonts w:ascii="微软雅黑" w:hAnsi="微软雅黑" w:cs="宋体"/>
                <w:b/>
                <w:color w:val="000000" w:themeColor="text1"/>
                <w:szCs w:val="21"/>
                <w:highlight w:val="none"/>
              </w:rPr>
              <w:t>使用</w:t>
            </w:r>
            <w:r>
              <w:rPr>
                <w:rFonts w:hint="eastAsia" w:ascii="微软雅黑" w:hAnsi="微软雅黑" w:cs="宋体"/>
                <w:b/>
                <w:color w:val="000000" w:themeColor="text1"/>
                <w:szCs w:val="21"/>
                <w:highlight w:val="none"/>
              </w:rPr>
              <w:t>镭射片材</w:t>
            </w:r>
            <w:r>
              <w:rPr>
                <w:rFonts w:ascii="微软雅黑" w:hAnsi="微软雅黑" w:cs="宋体"/>
                <w:b/>
                <w:color w:val="000000" w:themeColor="text1"/>
                <w:szCs w:val="21"/>
                <w:highlight w:val="none"/>
              </w:rPr>
              <w:t>印刷，卡片底色可以反射出绚丽的七色光彩，光线会随观察的角度不同而出现偏移</w:t>
            </w:r>
            <w:r>
              <w:rPr>
                <w:rFonts w:hint="eastAsia" w:ascii="微软雅黑" w:hAnsi="微软雅黑" w:cs="宋体"/>
                <w:b/>
                <w:color w:val="000000" w:themeColor="text1"/>
                <w:szCs w:val="21"/>
                <w:highlight w:val="none"/>
              </w:rPr>
              <w:t>。</w:t>
            </w:r>
          </w:p>
        </w:tc>
        <w:tc>
          <w:tcPr>
            <w:tcW w:w="8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p>
        </w:tc>
        <w:tc>
          <w:tcPr>
            <w:tcW w:w="949" w:type="dxa"/>
            <w:vMerge w:val="continue"/>
            <w:tcBorders>
              <w:left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p>
        </w:tc>
        <w:tc>
          <w:tcPr>
            <w:tcW w:w="952" w:type="dxa"/>
            <w:vMerge w:val="continue"/>
            <w:tcBorders>
              <w:left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05" w:hRule="atLeast"/>
          <w:jc w:val="center"/>
        </w:trPr>
        <w:tc>
          <w:tcPr>
            <w:tcW w:w="8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jc w:val="center"/>
              <w:rPr>
                <w:rFonts w:ascii="微软雅黑" w:hAnsi="微软雅黑" w:cs="宋体"/>
                <w:b/>
                <w:color w:val="000000" w:themeColor="text1"/>
                <w:szCs w:val="21"/>
                <w:highlight w:val="none"/>
              </w:rPr>
            </w:pPr>
            <w:r>
              <w:rPr>
                <w:rFonts w:hint="eastAsia" w:ascii="微软雅黑" w:hAnsi="微软雅黑" w:cs="宋体"/>
                <w:b/>
                <w:color w:val="000000" w:themeColor="text1"/>
                <w:szCs w:val="21"/>
                <w:highlight w:val="none"/>
              </w:rPr>
              <w:t>黑基镭射</w:t>
            </w:r>
          </w:p>
        </w:tc>
        <w:tc>
          <w:tcPr>
            <w:tcW w:w="500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r>
              <w:rPr>
                <w:rFonts w:hint="eastAsia" w:ascii="微软雅黑" w:hAnsi="微软雅黑" w:cs="宋体"/>
                <w:b/>
                <w:color w:val="000000" w:themeColor="text1"/>
                <w:szCs w:val="21"/>
                <w:highlight w:val="none"/>
              </w:rPr>
              <w:t>采用黑色镭射片材印刷，融合了黑色PVC及镭射片材质感与神秘感，特显卡片的高贵与时尚。</w:t>
            </w:r>
          </w:p>
        </w:tc>
        <w:tc>
          <w:tcPr>
            <w:tcW w:w="8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p>
        </w:tc>
        <w:tc>
          <w:tcPr>
            <w:tcW w:w="949" w:type="dxa"/>
            <w:vMerge w:val="continue"/>
            <w:tcBorders>
              <w:left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p>
        </w:tc>
        <w:tc>
          <w:tcPr>
            <w:tcW w:w="952" w:type="dxa"/>
            <w:vMerge w:val="continue"/>
            <w:tcBorders>
              <w:left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05" w:hRule="atLeast"/>
          <w:jc w:val="center"/>
        </w:trPr>
        <w:tc>
          <w:tcPr>
            <w:tcW w:w="6757" w:type="dxa"/>
            <w:gridSpan w:val="3"/>
            <w:tcBorders>
              <w:top w:val="single" w:color="000000" w:sz="4" w:space="0"/>
              <w:left w:val="single" w:color="000000" w:sz="4" w:space="0"/>
              <w:bottom w:val="single" w:color="000000" w:sz="4" w:space="0"/>
              <w:right w:val="single" w:color="auto" w:sz="4" w:space="0"/>
            </w:tcBorders>
            <w:shd w:val="clear" w:color="auto" w:fill="FFFFFF" w:themeFill="background1"/>
            <w:vAlign w:val="center"/>
          </w:tcPr>
          <w:p>
            <w:pPr>
              <w:shd w:val="clear" w:color="auto" w:fill="FFFFFF"/>
              <w:spacing w:line="315" w:lineRule="atLeast"/>
              <w:jc w:val="center"/>
              <w:rPr>
                <w:rFonts w:ascii="微软雅黑" w:hAnsi="微软雅黑" w:cs="宋体"/>
                <w:b/>
                <w:color w:val="000000" w:themeColor="text1"/>
                <w:szCs w:val="21"/>
                <w:highlight w:val="none"/>
              </w:rPr>
            </w:pPr>
            <w:r>
              <w:rPr>
                <w:rFonts w:hint="eastAsia" w:ascii="微软雅黑" w:hAnsi="微软雅黑" w:cs="宋体"/>
                <w:b/>
                <w:color w:val="000000" w:themeColor="text1"/>
                <w:szCs w:val="21"/>
                <w:highlight w:val="none"/>
              </w:rPr>
              <w:t>合计（万元）</w:t>
            </w:r>
          </w:p>
        </w:tc>
        <w:tc>
          <w:tcPr>
            <w:tcW w:w="1901" w:type="dxa"/>
            <w:gridSpan w:val="2"/>
            <w:tcBorders>
              <w:top w:val="single" w:color="000000" w:sz="4" w:space="0"/>
              <w:left w:val="single" w:color="auto" w:sz="4" w:space="0"/>
              <w:bottom w:val="single" w:color="000000" w:sz="4" w:space="0"/>
              <w:right w:val="single" w:color="000000" w:sz="4" w:space="0"/>
            </w:tcBorders>
            <w:shd w:val="clear" w:color="auto" w:fill="FFFFFF" w:themeFill="background1"/>
            <w:vAlign w:val="center"/>
          </w:tcPr>
          <w:p>
            <w:pPr>
              <w:shd w:val="clear" w:color="auto" w:fill="FFFFFF"/>
              <w:spacing w:line="315" w:lineRule="atLeast"/>
              <w:rPr>
                <w:rFonts w:ascii="微软雅黑" w:hAnsi="微软雅黑" w:cs="宋体"/>
                <w:b/>
                <w:color w:val="000000" w:themeColor="text1"/>
                <w:szCs w:val="21"/>
                <w:highlight w:val="none"/>
              </w:rPr>
            </w:pPr>
          </w:p>
        </w:tc>
      </w:tr>
    </w:tbl>
    <w:p>
      <w:pPr>
        <w:shd w:val="clear" w:color="auto" w:fill="FFFFFF"/>
        <w:spacing w:line="315" w:lineRule="atLeast"/>
        <w:rPr>
          <w:rFonts w:ascii="微软雅黑" w:hAnsi="微软雅黑" w:cs="宋体"/>
          <w:b/>
          <w:color w:val="000000" w:themeColor="text1"/>
          <w:szCs w:val="21"/>
          <w:highlight w:val="none"/>
        </w:rPr>
      </w:pPr>
    </w:p>
    <w:p>
      <w:pPr>
        <w:rPr>
          <w:rFonts w:ascii="宋体" w:hAnsi="宋体"/>
          <w:bCs/>
          <w:color w:val="000000" w:themeColor="text1"/>
          <w:sz w:val="28"/>
          <w:szCs w:val="28"/>
          <w:highlight w:val="none"/>
        </w:rPr>
      </w:pPr>
    </w:p>
    <w:p>
      <w:pPr>
        <w:tabs>
          <w:tab w:val="left" w:pos="6300"/>
        </w:tabs>
        <w:snapToGrid w:val="0"/>
        <w:spacing w:line="280" w:lineRule="exact"/>
        <w:rPr>
          <w:rFonts w:ascii="宋体" w:hAnsi="宋体" w:eastAsia="宋体" w:cs="Times New Roman"/>
          <w:bCs/>
          <w:color w:val="000000" w:themeColor="text1"/>
          <w:sz w:val="24"/>
          <w:szCs w:val="28"/>
          <w:highlight w:val="none"/>
        </w:rPr>
      </w:pPr>
      <w:r>
        <w:rPr>
          <w:rFonts w:hint="eastAsia" w:ascii="宋体" w:hAnsi="宋体" w:eastAsia="宋体" w:cs="Times New Roman"/>
          <w:bCs/>
          <w:color w:val="000000" w:themeColor="text1"/>
          <w:sz w:val="24"/>
          <w:szCs w:val="28"/>
          <w:highlight w:val="none"/>
        </w:rPr>
        <w:t>三、本项目招标文件的预计采购量为估算值，不是招标人的实际采购量或承诺采购量，仅供供应商报价时参考，据此计算得出的总金额（即投标总报价）仅在评审时使用。实际采购数量以招标人的采购订单为准，采购价格按招标确定的中标单价计算，如合同执行期间新增卡种，根据制作工艺及芯片容量采用相关报价。</w:t>
      </w:r>
    </w:p>
    <w:p>
      <w:pPr>
        <w:rPr>
          <w:rFonts w:ascii="宋体" w:hAnsi="宋体"/>
          <w:bCs/>
          <w:color w:val="000000" w:themeColor="text1"/>
          <w:sz w:val="28"/>
          <w:szCs w:val="28"/>
          <w:highlight w:val="none"/>
        </w:rPr>
      </w:pPr>
    </w:p>
    <w:p>
      <w:pPr>
        <w:tabs>
          <w:tab w:val="left" w:pos="6300"/>
        </w:tabs>
        <w:snapToGrid w:val="0"/>
        <w:spacing w:line="280" w:lineRule="exact"/>
        <w:rPr>
          <w:rFonts w:ascii="宋体" w:hAnsi="宋体" w:eastAsia="宋体" w:cs="Times New Roman"/>
          <w:bCs/>
          <w:color w:val="000000" w:themeColor="text1"/>
          <w:sz w:val="24"/>
          <w:szCs w:val="28"/>
          <w:highlight w:val="none"/>
        </w:rPr>
      </w:pPr>
      <w:r>
        <w:rPr>
          <w:rFonts w:hint="eastAsia" w:ascii="宋体" w:hAnsi="宋体" w:eastAsia="宋体" w:cs="Times New Roman"/>
          <w:bCs/>
          <w:color w:val="000000" w:themeColor="text1"/>
          <w:sz w:val="24"/>
          <w:szCs w:val="28"/>
          <w:highlight w:val="none"/>
        </w:rPr>
        <w:t>四、特别说明：</w:t>
      </w:r>
    </w:p>
    <w:p>
      <w:pPr>
        <w:tabs>
          <w:tab w:val="left" w:pos="6300"/>
        </w:tabs>
        <w:snapToGrid w:val="0"/>
        <w:spacing w:line="280" w:lineRule="exact"/>
        <w:rPr>
          <w:rFonts w:ascii="宋体" w:hAnsi="宋体" w:eastAsia="宋体" w:cs="Times New Roman"/>
          <w:bCs/>
          <w:color w:val="000000" w:themeColor="text1"/>
          <w:sz w:val="24"/>
          <w:szCs w:val="28"/>
          <w:highlight w:val="none"/>
        </w:rPr>
      </w:pPr>
      <w:r>
        <w:rPr>
          <w:rFonts w:hint="eastAsia" w:ascii="宋体" w:hAnsi="宋体" w:eastAsia="宋体" w:cs="Times New Roman"/>
          <w:bCs/>
          <w:color w:val="000000" w:themeColor="text1"/>
          <w:sz w:val="24"/>
          <w:szCs w:val="28"/>
          <w:highlight w:val="none"/>
        </w:rPr>
        <w:t>1、本项目投标总报价=标准卡合计报价+私人银行IC卡工艺合计报价=标准卡各卡种产品单价*对应卡种的预计采购量的小计报价之和+私人银行IC卡各工艺单价的算术平均值*4（每一张卡最多累计4种工艺）*0.65万张的合计报价。</w:t>
      </w:r>
    </w:p>
    <w:p>
      <w:pPr>
        <w:tabs>
          <w:tab w:val="left" w:pos="6300"/>
        </w:tabs>
        <w:snapToGrid w:val="0"/>
        <w:spacing w:line="280" w:lineRule="exact"/>
        <w:rPr>
          <w:rFonts w:ascii="宋体" w:hAnsi="宋体" w:eastAsia="宋体" w:cs="Times New Roman"/>
          <w:bCs/>
          <w:color w:val="000000" w:themeColor="text1"/>
          <w:sz w:val="24"/>
          <w:szCs w:val="28"/>
          <w:highlight w:val="none"/>
        </w:rPr>
      </w:pPr>
      <w:r>
        <w:rPr>
          <w:rFonts w:hint="eastAsia" w:ascii="宋体" w:hAnsi="宋体" w:eastAsia="宋体" w:cs="Times New Roman"/>
          <w:bCs/>
          <w:color w:val="000000" w:themeColor="text1"/>
          <w:sz w:val="24"/>
          <w:szCs w:val="28"/>
          <w:highlight w:val="none"/>
        </w:rPr>
        <w:t>2、私人银行IC卡的“</w:t>
      </w:r>
      <w:r>
        <w:rPr>
          <w:rFonts w:hint="eastAsia" w:ascii="宋体" w:hAnsi="宋体" w:eastAsia="宋体" w:cs="Times New Roman"/>
          <w:b/>
          <w:color w:val="000000" w:themeColor="text1"/>
          <w:sz w:val="24"/>
          <w:szCs w:val="28"/>
          <w:highlight w:val="none"/>
        </w:rPr>
        <w:t>各工艺单价的算术平均值*4（元/张）</w:t>
      </w:r>
      <w:r>
        <w:rPr>
          <w:rFonts w:hint="eastAsia" w:ascii="宋体" w:hAnsi="宋体" w:eastAsia="宋体" w:cs="Times New Roman"/>
          <w:bCs/>
          <w:color w:val="000000" w:themeColor="text1"/>
          <w:sz w:val="24"/>
          <w:szCs w:val="28"/>
          <w:highlight w:val="none"/>
        </w:rPr>
        <w:t>”请各投标人自行计算并填列，评审过程将直接采用投标人自行填报的相关报价参与评分，请谨慎对待。若因投标人误填或误算导致该投标人计算结果有偏差的，一切后果和责任由投标人自行承担，但不影响评标基准价及本次评审结果。特此告知。</w:t>
      </w:r>
    </w:p>
    <w:p>
      <w:pPr>
        <w:tabs>
          <w:tab w:val="left" w:pos="6300"/>
        </w:tabs>
        <w:snapToGrid w:val="0"/>
        <w:spacing w:line="360" w:lineRule="exact"/>
        <w:rPr>
          <w:rFonts w:ascii="宋体" w:hAnsi="宋体" w:eastAsia="宋体" w:cs="Times New Roman"/>
          <w:b/>
          <w:color w:val="000000" w:themeColor="text1"/>
          <w:szCs w:val="21"/>
          <w:highlight w:val="none"/>
        </w:rPr>
      </w:pPr>
    </w:p>
    <w:p>
      <w:pPr>
        <w:tabs>
          <w:tab w:val="left" w:pos="6300"/>
        </w:tabs>
        <w:snapToGrid w:val="0"/>
        <w:spacing w:line="360" w:lineRule="exact"/>
        <w:rPr>
          <w:rFonts w:ascii="宋体" w:hAnsi="宋体" w:eastAsia="宋体" w:cs="Times New Roman"/>
          <w:b/>
          <w:color w:val="000000" w:themeColor="text1"/>
          <w:szCs w:val="21"/>
          <w:highlight w:val="none"/>
        </w:rPr>
      </w:pPr>
    </w:p>
    <w:p>
      <w:pPr>
        <w:tabs>
          <w:tab w:val="left" w:pos="6300"/>
        </w:tabs>
        <w:snapToGrid w:val="0"/>
        <w:spacing w:line="360" w:lineRule="exact"/>
        <w:rPr>
          <w:rFonts w:ascii="宋体" w:hAnsi="宋体" w:eastAsia="宋体" w:cs="Times New Roman"/>
          <w:b/>
          <w:color w:val="000000" w:themeColor="text1"/>
          <w:szCs w:val="21"/>
          <w:highlight w:val="none"/>
        </w:rPr>
      </w:pPr>
    </w:p>
    <w:p>
      <w:pPr>
        <w:tabs>
          <w:tab w:val="left" w:pos="6300"/>
        </w:tabs>
        <w:snapToGrid w:val="0"/>
        <w:spacing w:line="360" w:lineRule="exact"/>
        <w:rPr>
          <w:rFonts w:ascii="宋体" w:hAnsi="宋体" w:eastAsia="宋体" w:cs="Times New Roman"/>
          <w:b/>
          <w:color w:val="000000" w:themeColor="text1"/>
          <w:szCs w:val="21"/>
          <w:highlight w:val="none"/>
        </w:rPr>
      </w:pPr>
      <w:r>
        <w:rPr>
          <w:rFonts w:hint="eastAsia" w:ascii="宋体" w:hAnsi="宋体" w:eastAsia="宋体" w:cs="Times New Roman"/>
          <w:b/>
          <w:color w:val="000000" w:themeColor="text1"/>
          <w:szCs w:val="21"/>
          <w:highlight w:val="none"/>
        </w:rPr>
        <w:t>投标人：（公章）</w:t>
      </w:r>
    </w:p>
    <w:p>
      <w:pPr>
        <w:spacing w:line="360" w:lineRule="exact"/>
        <w:rPr>
          <w:rFonts w:ascii="宋体" w:hAnsi="宋体" w:eastAsia="宋体" w:cs="Times New Roman"/>
          <w:color w:val="000000" w:themeColor="text1"/>
          <w:szCs w:val="21"/>
          <w:highlight w:val="none"/>
        </w:rPr>
      </w:pPr>
      <w:r>
        <w:rPr>
          <w:rFonts w:hint="eastAsia" w:ascii="宋体" w:hAnsi="宋体" w:eastAsia="宋体" w:cs="Times New Roman"/>
          <w:b/>
          <w:color w:val="000000" w:themeColor="text1"/>
          <w:szCs w:val="21"/>
          <w:highlight w:val="none"/>
        </w:rPr>
        <w:t>法定代表人或其委托代理人：（盖章或签字）</w:t>
      </w:r>
    </w:p>
    <w:p>
      <w:pPr>
        <w:spacing w:line="360" w:lineRule="exact"/>
        <w:ind w:firstLine="1890" w:firstLineChars="900"/>
        <w:rPr>
          <w:rFonts w:ascii="Times New Roman" w:hAnsi="Times New Roman" w:eastAsia="宋体" w:cs="Times New Roman"/>
          <w:color w:val="000000" w:themeColor="text1"/>
          <w:sz w:val="24"/>
          <w:szCs w:val="24"/>
          <w:highlight w:val="none"/>
        </w:rPr>
      </w:pPr>
      <w:r>
        <w:rPr>
          <w:rFonts w:hint="eastAsia" w:ascii="宋体" w:hAnsi="宋体" w:eastAsia="宋体" w:cs="Times New Roman"/>
          <w:color w:val="000000" w:themeColor="text1"/>
          <w:szCs w:val="21"/>
          <w:highlight w:val="none"/>
        </w:rPr>
        <w:t>年   月   日</w:t>
      </w:r>
    </w:p>
    <w:p>
      <w:pPr>
        <w:widowControl/>
        <w:jc w:val="left"/>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br w:type="page"/>
      </w:r>
    </w:p>
    <w:p>
      <w:pPr>
        <w:spacing w:line="400" w:lineRule="exact"/>
        <w:rPr>
          <w:rFonts w:ascii="Times New Roman" w:hAnsi="Times New Roman" w:eastAsia="宋体" w:cs="Times New Roman"/>
          <w:color w:val="000000" w:themeColor="text1"/>
          <w:sz w:val="24"/>
          <w:szCs w:val="24"/>
          <w:highlight w:val="none"/>
        </w:rPr>
      </w:pPr>
    </w:p>
    <w:p>
      <w:pPr>
        <w:keepNext/>
        <w:keepLines/>
        <w:tabs>
          <w:tab w:val="left" w:pos="1418"/>
        </w:tabs>
        <w:spacing w:line="400" w:lineRule="exact"/>
        <w:ind w:firstLine="284"/>
        <w:outlineLvl w:val="2"/>
        <w:rPr>
          <w:rFonts w:ascii="Times New Roman" w:hAnsi="Times New Roman" w:eastAsia="宋体" w:cs="Times New Roman"/>
          <w:b/>
          <w:bCs/>
          <w:color w:val="000000" w:themeColor="text1"/>
          <w:kern w:val="0"/>
          <w:sz w:val="24"/>
          <w:szCs w:val="21"/>
          <w:highlight w:val="none"/>
        </w:rPr>
      </w:pPr>
      <w:bookmarkStart w:id="155" w:name="_Toc26439"/>
      <w:bookmarkStart w:id="156" w:name="_Toc419964633"/>
      <w:r>
        <w:rPr>
          <w:rFonts w:ascii="Times New Roman" w:hAnsi="Times New Roman" w:eastAsia="宋体" w:cs="Times New Roman"/>
          <w:b/>
          <w:bCs/>
          <w:color w:val="000000" w:themeColor="text1"/>
          <w:kern w:val="0"/>
          <w:sz w:val="24"/>
          <w:szCs w:val="21"/>
          <w:highlight w:val="none"/>
        </w:rPr>
        <w:t>2.法定代表人身份证明书</w:t>
      </w:r>
      <w:bookmarkEnd w:id="155"/>
      <w:bookmarkEnd w:id="156"/>
    </w:p>
    <w:p>
      <w:pPr>
        <w:spacing w:line="400" w:lineRule="exact"/>
        <w:rPr>
          <w:rFonts w:ascii="Times New Roman" w:hAnsi="Times New Roman" w:eastAsia="宋体" w:cs="Times New Roman"/>
          <w:color w:val="000000" w:themeColor="text1"/>
          <w:sz w:val="24"/>
          <w:szCs w:val="21"/>
          <w:highlight w:val="none"/>
        </w:rPr>
      </w:pPr>
    </w:p>
    <w:p>
      <w:pPr>
        <w:tabs>
          <w:tab w:val="left" w:pos="6300"/>
        </w:tabs>
        <w:snapToGrid w:val="0"/>
        <w:spacing w:line="400" w:lineRule="exact"/>
        <w:jc w:val="center"/>
        <w:rPr>
          <w:rFonts w:ascii="Times New Roman" w:hAnsi="Times New Roman" w:eastAsia="宋体" w:cs="Times New Roman"/>
          <w:color w:val="000000" w:themeColor="text1"/>
          <w:sz w:val="24"/>
          <w:szCs w:val="21"/>
          <w:highlight w:val="none"/>
        </w:rPr>
      </w:pPr>
      <w:r>
        <w:rPr>
          <w:rFonts w:ascii="Times New Roman" w:hAnsi="Times New Roman" w:eastAsia="宋体" w:cs="Times New Roman"/>
          <w:color w:val="000000" w:themeColor="text1"/>
          <w:sz w:val="24"/>
          <w:szCs w:val="21"/>
          <w:highlight w:val="none"/>
        </w:rPr>
        <w:t>法定代表人身份证明书（格式）</w:t>
      </w:r>
    </w:p>
    <w:p>
      <w:pPr>
        <w:tabs>
          <w:tab w:val="left" w:pos="6300"/>
        </w:tabs>
        <w:snapToGrid w:val="0"/>
        <w:spacing w:line="400" w:lineRule="exact"/>
        <w:rPr>
          <w:rFonts w:ascii="Times New Roman" w:hAnsi="Times New Roman" w:eastAsia="宋体" w:cs="Times New Roman"/>
          <w:color w:val="000000" w:themeColor="text1"/>
          <w:sz w:val="24"/>
          <w:szCs w:val="21"/>
          <w:highlight w:val="none"/>
        </w:rPr>
      </w:pPr>
    </w:p>
    <w:p>
      <w:pPr>
        <w:tabs>
          <w:tab w:val="left" w:pos="6300"/>
        </w:tabs>
        <w:snapToGrid w:val="0"/>
        <w:spacing w:line="400" w:lineRule="exact"/>
        <w:ind w:firstLine="640" w:firstLineChars="267"/>
        <w:rPr>
          <w:rFonts w:ascii="Times New Roman" w:hAnsi="Times New Roman" w:eastAsia="宋体" w:cs="Times New Roman"/>
          <w:color w:val="000000" w:themeColor="text1"/>
          <w:sz w:val="24"/>
          <w:szCs w:val="21"/>
          <w:highlight w:val="none"/>
        </w:rPr>
      </w:pPr>
      <w:r>
        <w:rPr>
          <w:rFonts w:ascii="Times New Roman" w:hAnsi="Times New Roman" w:eastAsia="宋体" w:cs="Times New Roman"/>
          <w:color w:val="000000" w:themeColor="text1"/>
          <w:sz w:val="24"/>
          <w:szCs w:val="21"/>
          <w:highlight w:val="none"/>
        </w:rPr>
        <w:t>（法定代表人姓名）在（投标人名称）任（职务名称）职务，是__________________（投标人名称）的法定代表人。</w:t>
      </w:r>
    </w:p>
    <w:p>
      <w:pPr>
        <w:tabs>
          <w:tab w:val="left" w:pos="6300"/>
        </w:tabs>
        <w:snapToGrid w:val="0"/>
        <w:spacing w:line="400" w:lineRule="exact"/>
        <w:ind w:firstLine="460" w:firstLineChars="192"/>
        <w:rPr>
          <w:rFonts w:ascii="Times New Roman" w:hAnsi="Times New Roman" w:eastAsia="宋体" w:cs="Times New Roman"/>
          <w:color w:val="000000" w:themeColor="text1"/>
          <w:sz w:val="24"/>
          <w:szCs w:val="21"/>
          <w:highlight w:val="none"/>
        </w:rPr>
      </w:pPr>
    </w:p>
    <w:p>
      <w:pPr>
        <w:tabs>
          <w:tab w:val="left" w:pos="6300"/>
        </w:tabs>
        <w:snapToGrid w:val="0"/>
        <w:spacing w:line="400" w:lineRule="exact"/>
        <w:ind w:firstLine="460" w:firstLineChars="192"/>
        <w:rPr>
          <w:rFonts w:ascii="Times New Roman" w:hAnsi="Times New Roman" w:eastAsia="宋体" w:cs="Times New Roman"/>
          <w:color w:val="000000" w:themeColor="text1"/>
          <w:sz w:val="24"/>
          <w:szCs w:val="21"/>
          <w:highlight w:val="none"/>
        </w:rPr>
      </w:pPr>
      <w:r>
        <w:rPr>
          <w:rFonts w:ascii="Times New Roman" w:hAnsi="Times New Roman" w:eastAsia="宋体" w:cs="Times New Roman"/>
          <w:color w:val="000000" w:themeColor="text1"/>
          <w:sz w:val="24"/>
          <w:szCs w:val="21"/>
          <w:highlight w:val="none"/>
        </w:rPr>
        <w:t>特此证明。</w:t>
      </w:r>
    </w:p>
    <w:p>
      <w:pPr>
        <w:tabs>
          <w:tab w:val="left" w:pos="6300"/>
        </w:tabs>
        <w:snapToGrid w:val="0"/>
        <w:spacing w:line="400" w:lineRule="exact"/>
        <w:rPr>
          <w:rFonts w:ascii="Times New Roman" w:hAnsi="Times New Roman" w:eastAsia="宋体" w:cs="Times New Roman"/>
          <w:color w:val="000000" w:themeColor="text1"/>
          <w:sz w:val="24"/>
          <w:szCs w:val="21"/>
          <w:highlight w:val="none"/>
        </w:rPr>
      </w:pPr>
    </w:p>
    <w:p>
      <w:pPr>
        <w:tabs>
          <w:tab w:val="left" w:pos="6300"/>
        </w:tabs>
        <w:snapToGrid w:val="0"/>
        <w:spacing w:line="400" w:lineRule="exact"/>
        <w:rPr>
          <w:rFonts w:ascii="Times New Roman" w:hAnsi="Times New Roman" w:eastAsia="宋体" w:cs="Times New Roman"/>
          <w:color w:val="000000" w:themeColor="text1"/>
          <w:sz w:val="24"/>
          <w:szCs w:val="21"/>
          <w:highlight w:val="none"/>
        </w:rPr>
      </w:pPr>
    </w:p>
    <w:tbl>
      <w:tblPr>
        <w:tblStyle w:val="55"/>
        <w:tblW w:w="5387" w:type="dxa"/>
        <w:tblInd w:w="18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70" w:hRule="atLeast"/>
        </w:trPr>
        <w:tc>
          <w:tcPr>
            <w:tcW w:w="5387" w:type="dxa"/>
          </w:tcPr>
          <w:p>
            <w:pPr>
              <w:tabs>
                <w:tab w:val="left" w:pos="6300"/>
              </w:tabs>
              <w:snapToGrid w:val="0"/>
              <w:spacing w:line="400" w:lineRule="exact"/>
              <w:rPr>
                <w:rFonts w:ascii="Times New Roman" w:hAnsi="Times New Roman" w:eastAsia="宋体" w:cs="Times New Roman"/>
                <w:color w:val="000000" w:themeColor="text1"/>
                <w:sz w:val="24"/>
                <w:szCs w:val="21"/>
                <w:highlight w:val="none"/>
              </w:rPr>
            </w:pPr>
            <w:r>
              <w:rPr>
                <w:rFonts w:ascii="Times New Roman" w:hAnsi="Times New Roman" w:eastAsia="宋体" w:cs="Times New Roman"/>
                <w:color w:val="000000" w:themeColor="text1"/>
                <w:sz w:val="24"/>
                <w:szCs w:val="21"/>
                <w:highlight w:val="none"/>
              </w:rPr>
              <w:t>此处粘贴“法定代表人身份证双面复印件”</w:t>
            </w:r>
          </w:p>
          <w:p>
            <w:pPr>
              <w:tabs>
                <w:tab w:val="left" w:pos="6300"/>
              </w:tabs>
              <w:snapToGrid w:val="0"/>
              <w:spacing w:line="400" w:lineRule="exact"/>
              <w:rPr>
                <w:rFonts w:ascii="Times New Roman" w:hAnsi="Times New Roman" w:eastAsia="宋体" w:cs="Times New Roman"/>
                <w:color w:val="000000" w:themeColor="text1"/>
                <w:sz w:val="24"/>
                <w:szCs w:val="21"/>
                <w:highlight w:val="none"/>
              </w:rPr>
            </w:pPr>
          </w:p>
          <w:p>
            <w:pPr>
              <w:tabs>
                <w:tab w:val="left" w:pos="6300"/>
              </w:tabs>
              <w:snapToGrid w:val="0"/>
              <w:spacing w:line="400" w:lineRule="exact"/>
              <w:rPr>
                <w:rFonts w:ascii="Times New Roman" w:hAnsi="Times New Roman" w:eastAsia="宋体" w:cs="Times New Roman"/>
                <w:color w:val="000000" w:themeColor="text1"/>
                <w:sz w:val="24"/>
                <w:szCs w:val="21"/>
                <w:highlight w:val="none"/>
              </w:rPr>
            </w:pPr>
          </w:p>
          <w:p>
            <w:pPr>
              <w:tabs>
                <w:tab w:val="left" w:pos="6300"/>
              </w:tabs>
              <w:snapToGrid w:val="0"/>
              <w:spacing w:line="400" w:lineRule="exact"/>
              <w:rPr>
                <w:rFonts w:ascii="Times New Roman" w:hAnsi="Times New Roman" w:eastAsia="宋体" w:cs="Times New Roman"/>
                <w:color w:val="000000" w:themeColor="text1"/>
                <w:sz w:val="24"/>
                <w:szCs w:val="21"/>
                <w:highlight w:val="none"/>
              </w:rPr>
            </w:pPr>
          </w:p>
          <w:p>
            <w:pPr>
              <w:tabs>
                <w:tab w:val="left" w:pos="6300"/>
              </w:tabs>
              <w:snapToGrid w:val="0"/>
              <w:spacing w:line="400" w:lineRule="exact"/>
              <w:rPr>
                <w:rFonts w:ascii="Times New Roman" w:hAnsi="Times New Roman" w:eastAsia="宋体" w:cs="Times New Roman"/>
                <w:color w:val="000000" w:themeColor="text1"/>
                <w:sz w:val="24"/>
                <w:szCs w:val="21"/>
                <w:highlight w:val="none"/>
              </w:rPr>
            </w:pPr>
          </w:p>
          <w:p>
            <w:pPr>
              <w:tabs>
                <w:tab w:val="left" w:pos="6300"/>
              </w:tabs>
              <w:snapToGrid w:val="0"/>
              <w:spacing w:line="400" w:lineRule="exact"/>
              <w:rPr>
                <w:rFonts w:ascii="Times New Roman" w:hAnsi="Times New Roman" w:eastAsia="宋体" w:cs="Times New Roman"/>
                <w:color w:val="000000" w:themeColor="text1"/>
                <w:sz w:val="2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70" w:hRule="atLeast"/>
        </w:trPr>
        <w:tc>
          <w:tcPr>
            <w:tcW w:w="5387" w:type="dxa"/>
            <w:tcBorders>
              <w:top w:val="single" w:color="auto" w:sz="4" w:space="0"/>
              <w:left w:val="single" w:color="auto" w:sz="4" w:space="0"/>
              <w:bottom w:val="single" w:color="auto" w:sz="4" w:space="0"/>
              <w:right w:val="single" w:color="auto" w:sz="4" w:space="0"/>
            </w:tcBorders>
          </w:tcPr>
          <w:p>
            <w:pPr>
              <w:tabs>
                <w:tab w:val="left" w:pos="6300"/>
              </w:tabs>
              <w:snapToGrid w:val="0"/>
              <w:spacing w:line="400" w:lineRule="exact"/>
              <w:rPr>
                <w:rFonts w:ascii="Times New Roman" w:hAnsi="Times New Roman" w:eastAsia="宋体" w:cs="Times New Roman"/>
                <w:color w:val="000000" w:themeColor="text1"/>
                <w:sz w:val="24"/>
                <w:szCs w:val="21"/>
                <w:highlight w:val="none"/>
              </w:rPr>
            </w:pPr>
          </w:p>
          <w:p>
            <w:pPr>
              <w:tabs>
                <w:tab w:val="left" w:pos="6300"/>
              </w:tabs>
              <w:snapToGrid w:val="0"/>
              <w:spacing w:line="400" w:lineRule="exact"/>
              <w:rPr>
                <w:rFonts w:ascii="Times New Roman" w:hAnsi="Times New Roman" w:eastAsia="宋体" w:cs="Times New Roman"/>
                <w:color w:val="000000" w:themeColor="text1"/>
                <w:sz w:val="24"/>
                <w:szCs w:val="21"/>
                <w:highlight w:val="none"/>
              </w:rPr>
            </w:pPr>
          </w:p>
          <w:p>
            <w:pPr>
              <w:tabs>
                <w:tab w:val="left" w:pos="6300"/>
              </w:tabs>
              <w:snapToGrid w:val="0"/>
              <w:spacing w:line="400" w:lineRule="exact"/>
              <w:rPr>
                <w:rFonts w:ascii="Times New Roman" w:hAnsi="Times New Roman" w:eastAsia="宋体" w:cs="Times New Roman"/>
                <w:color w:val="000000" w:themeColor="text1"/>
                <w:sz w:val="24"/>
                <w:szCs w:val="21"/>
                <w:highlight w:val="none"/>
              </w:rPr>
            </w:pPr>
          </w:p>
          <w:p>
            <w:pPr>
              <w:tabs>
                <w:tab w:val="left" w:pos="6300"/>
              </w:tabs>
              <w:snapToGrid w:val="0"/>
              <w:spacing w:line="400" w:lineRule="exact"/>
              <w:rPr>
                <w:rFonts w:ascii="Times New Roman" w:hAnsi="Times New Roman" w:eastAsia="宋体" w:cs="Times New Roman"/>
                <w:color w:val="000000" w:themeColor="text1"/>
                <w:sz w:val="24"/>
                <w:szCs w:val="21"/>
                <w:highlight w:val="none"/>
              </w:rPr>
            </w:pPr>
          </w:p>
          <w:p>
            <w:pPr>
              <w:tabs>
                <w:tab w:val="left" w:pos="6300"/>
              </w:tabs>
              <w:snapToGrid w:val="0"/>
              <w:spacing w:line="400" w:lineRule="exact"/>
              <w:rPr>
                <w:rFonts w:ascii="Times New Roman" w:hAnsi="Times New Roman" w:eastAsia="宋体" w:cs="Times New Roman"/>
                <w:color w:val="000000" w:themeColor="text1"/>
                <w:sz w:val="24"/>
                <w:szCs w:val="21"/>
                <w:highlight w:val="none"/>
              </w:rPr>
            </w:pPr>
          </w:p>
        </w:tc>
      </w:tr>
    </w:tbl>
    <w:p>
      <w:pPr>
        <w:tabs>
          <w:tab w:val="left" w:pos="6300"/>
        </w:tabs>
        <w:snapToGrid w:val="0"/>
        <w:spacing w:line="400" w:lineRule="exact"/>
        <w:rPr>
          <w:rFonts w:ascii="Times New Roman" w:hAnsi="Times New Roman" w:eastAsia="宋体" w:cs="Times New Roman"/>
          <w:color w:val="000000" w:themeColor="text1"/>
          <w:sz w:val="24"/>
          <w:szCs w:val="21"/>
          <w:highlight w:val="none"/>
        </w:rPr>
      </w:pPr>
    </w:p>
    <w:p>
      <w:pPr>
        <w:tabs>
          <w:tab w:val="left" w:pos="6300"/>
        </w:tabs>
        <w:snapToGrid w:val="0"/>
        <w:spacing w:line="400" w:lineRule="exact"/>
        <w:rPr>
          <w:rFonts w:ascii="Times New Roman" w:hAnsi="Times New Roman" w:eastAsia="宋体" w:cs="Times New Roman"/>
          <w:color w:val="000000" w:themeColor="text1"/>
          <w:sz w:val="24"/>
          <w:szCs w:val="21"/>
          <w:highlight w:val="none"/>
        </w:rPr>
      </w:pPr>
    </w:p>
    <w:p>
      <w:pPr>
        <w:spacing w:line="400" w:lineRule="exact"/>
        <w:rPr>
          <w:rFonts w:ascii="Times New Roman" w:hAnsi="Times New Roman" w:eastAsia="宋体" w:cs="Times New Roman"/>
          <w:b/>
          <w:color w:val="000000" w:themeColor="text1"/>
          <w:sz w:val="24"/>
          <w:szCs w:val="21"/>
          <w:highlight w:val="none"/>
        </w:rPr>
      </w:pPr>
      <w:r>
        <w:rPr>
          <w:rFonts w:ascii="Times New Roman" w:hAnsi="Times New Roman" w:eastAsia="宋体" w:cs="Times New Roman"/>
          <w:b/>
          <w:color w:val="000000" w:themeColor="text1"/>
          <w:sz w:val="24"/>
          <w:szCs w:val="21"/>
          <w:highlight w:val="none"/>
        </w:rPr>
        <w:t>投标人:（公章）</w:t>
      </w:r>
    </w:p>
    <w:p>
      <w:pPr>
        <w:tabs>
          <w:tab w:val="left" w:pos="6300"/>
        </w:tabs>
        <w:snapToGrid w:val="0"/>
        <w:spacing w:line="400" w:lineRule="exact"/>
        <w:rPr>
          <w:rFonts w:ascii="Times New Roman" w:hAnsi="Times New Roman" w:eastAsia="宋体" w:cs="Times New Roman"/>
          <w:color w:val="000000" w:themeColor="text1"/>
          <w:sz w:val="24"/>
          <w:szCs w:val="21"/>
          <w:highlight w:val="none"/>
        </w:rPr>
      </w:pPr>
      <w:r>
        <w:rPr>
          <w:rFonts w:ascii="Times New Roman" w:hAnsi="Times New Roman" w:eastAsia="宋体" w:cs="Times New Roman"/>
          <w:color w:val="000000" w:themeColor="text1"/>
          <w:sz w:val="24"/>
          <w:szCs w:val="21"/>
          <w:highlight w:val="none"/>
        </w:rPr>
        <w:t>年月日</w:t>
      </w:r>
    </w:p>
    <w:p>
      <w:pPr>
        <w:spacing w:line="400" w:lineRule="exact"/>
        <w:rPr>
          <w:rFonts w:ascii="Times New Roman" w:hAnsi="Times New Roman" w:eastAsia="宋体" w:cs="Times New Roman"/>
          <w:color w:val="000000" w:themeColor="text1"/>
          <w:sz w:val="32"/>
          <w:szCs w:val="24"/>
          <w:highlight w:val="none"/>
        </w:rPr>
      </w:pPr>
    </w:p>
    <w:p>
      <w:pPr>
        <w:spacing w:line="400" w:lineRule="exact"/>
        <w:rPr>
          <w:rFonts w:ascii="Times New Roman" w:hAnsi="Times New Roman" w:eastAsia="宋体" w:cs="Times New Roman"/>
          <w:color w:val="000000" w:themeColor="text1"/>
          <w:sz w:val="40"/>
          <w:szCs w:val="24"/>
          <w:highlight w:val="none"/>
        </w:rPr>
      </w:pPr>
      <w:r>
        <w:rPr>
          <w:rFonts w:ascii="Times New Roman" w:hAnsi="Times New Roman" w:eastAsia="宋体" w:cs="Times New Roman"/>
          <w:color w:val="000000" w:themeColor="text1"/>
          <w:sz w:val="32"/>
          <w:szCs w:val="24"/>
          <w:highlight w:val="none"/>
        </w:rPr>
        <w:br w:type="page"/>
      </w:r>
    </w:p>
    <w:p>
      <w:pPr>
        <w:keepNext/>
        <w:keepLines/>
        <w:tabs>
          <w:tab w:val="left" w:pos="1418"/>
        </w:tabs>
        <w:spacing w:line="400" w:lineRule="exact"/>
        <w:ind w:firstLine="284"/>
        <w:outlineLvl w:val="2"/>
        <w:rPr>
          <w:rFonts w:ascii="Times New Roman" w:hAnsi="Times New Roman" w:eastAsia="宋体" w:cs="Times New Roman"/>
          <w:b/>
          <w:bCs/>
          <w:color w:val="000000" w:themeColor="text1"/>
          <w:kern w:val="0"/>
          <w:sz w:val="24"/>
          <w:szCs w:val="21"/>
          <w:highlight w:val="none"/>
        </w:rPr>
      </w:pPr>
      <w:bookmarkStart w:id="157" w:name="_Toc20966"/>
      <w:bookmarkStart w:id="158" w:name="_Toc419964634"/>
      <w:r>
        <w:rPr>
          <w:rFonts w:ascii="Times New Roman" w:hAnsi="Times New Roman" w:eastAsia="宋体" w:cs="Times New Roman"/>
          <w:b/>
          <w:bCs/>
          <w:color w:val="000000" w:themeColor="text1"/>
          <w:kern w:val="0"/>
          <w:sz w:val="24"/>
          <w:szCs w:val="21"/>
          <w:highlight w:val="none"/>
        </w:rPr>
        <w:t>3.法定代表人授权委托书</w:t>
      </w:r>
      <w:bookmarkEnd w:id="157"/>
      <w:bookmarkEnd w:id="158"/>
    </w:p>
    <w:p>
      <w:pPr>
        <w:spacing w:line="400" w:lineRule="exact"/>
        <w:jc w:val="center"/>
        <w:rPr>
          <w:rFonts w:ascii="Times New Roman" w:hAnsi="Times New Roman" w:eastAsia="宋体" w:cs="Times New Roman"/>
          <w:color w:val="000000" w:themeColor="text1"/>
          <w:sz w:val="24"/>
          <w:szCs w:val="21"/>
          <w:highlight w:val="none"/>
        </w:rPr>
      </w:pPr>
      <w:r>
        <w:rPr>
          <w:rFonts w:ascii="Times New Roman" w:hAnsi="Times New Roman" w:eastAsia="宋体" w:cs="Times New Roman"/>
          <w:color w:val="000000" w:themeColor="text1"/>
          <w:sz w:val="24"/>
          <w:szCs w:val="21"/>
          <w:highlight w:val="none"/>
        </w:rPr>
        <w:t>法定代表人授权委托书（格式）</w:t>
      </w:r>
    </w:p>
    <w:p>
      <w:pPr>
        <w:spacing w:line="400" w:lineRule="exact"/>
        <w:jc w:val="center"/>
        <w:rPr>
          <w:rFonts w:ascii="Times New Roman" w:hAnsi="Times New Roman" w:eastAsia="宋体" w:cs="Times New Roman"/>
          <w:color w:val="000000" w:themeColor="text1"/>
          <w:sz w:val="24"/>
          <w:szCs w:val="21"/>
          <w:highlight w:val="none"/>
        </w:rPr>
      </w:pPr>
    </w:p>
    <w:p>
      <w:pPr>
        <w:tabs>
          <w:tab w:val="left" w:pos="6300"/>
        </w:tabs>
        <w:snapToGrid w:val="0"/>
        <w:spacing w:line="400" w:lineRule="exact"/>
        <w:rPr>
          <w:rFonts w:ascii="Times New Roman" w:hAnsi="Times New Roman" w:eastAsia="宋体" w:cs="Times New Roman"/>
          <w:color w:val="000000" w:themeColor="text1"/>
          <w:sz w:val="24"/>
          <w:szCs w:val="21"/>
          <w:highlight w:val="none"/>
        </w:rPr>
      </w:pPr>
      <w:r>
        <w:rPr>
          <w:rFonts w:ascii="Times New Roman" w:hAnsi="Times New Roman" w:eastAsia="宋体" w:cs="Times New Roman"/>
          <w:color w:val="000000" w:themeColor="text1"/>
          <w:sz w:val="24"/>
          <w:szCs w:val="21"/>
          <w:highlight w:val="none"/>
        </w:rPr>
        <w:t>致：</w:t>
      </w:r>
      <w:r>
        <w:rPr>
          <w:rFonts w:ascii="Times New Roman" w:hAnsi="Times New Roman" w:eastAsia="宋体" w:cs="Times New Roman"/>
          <w:color w:val="000000" w:themeColor="text1"/>
          <w:sz w:val="24"/>
          <w:szCs w:val="21"/>
          <w:highlight w:val="none"/>
          <w:u w:val="single"/>
        </w:rPr>
        <w:t>（招标人）</w:t>
      </w:r>
    </w:p>
    <w:p>
      <w:pPr>
        <w:tabs>
          <w:tab w:val="left" w:pos="6300"/>
        </w:tabs>
        <w:snapToGrid w:val="0"/>
        <w:spacing w:line="400" w:lineRule="exact"/>
        <w:ind w:firstLine="555"/>
        <w:rPr>
          <w:rFonts w:ascii="Times New Roman" w:hAnsi="Times New Roman" w:eastAsia="宋体" w:cs="Times New Roman"/>
          <w:color w:val="000000" w:themeColor="text1"/>
          <w:sz w:val="24"/>
          <w:szCs w:val="21"/>
          <w:highlight w:val="none"/>
        </w:rPr>
      </w:pPr>
      <w:r>
        <w:rPr>
          <w:rFonts w:ascii="Times New Roman" w:hAnsi="Times New Roman" w:eastAsia="宋体" w:cs="Times New Roman"/>
          <w:color w:val="000000" w:themeColor="text1"/>
          <w:sz w:val="24"/>
          <w:szCs w:val="21"/>
          <w:highlight w:val="none"/>
        </w:rPr>
        <w:t>____________（投标人名称）是中华人民共和国合法企业，法定地址__________。</w:t>
      </w:r>
    </w:p>
    <w:p>
      <w:pPr>
        <w:tabs>
          <w:tab w:val="left" w:pos="6300"/>
        </w:tabs>
        <w:snapToGrid w:val="0"/>
        <w:spacing w:line="400" w:lineRule="exact"/>
        <w:ind w:firstLine="555"/>
        <w:rPr>
          <w:rFonts w:ascii="Times New Roman" w:hAnsi="Times New Roman" w:eastAsia="宋体" w:cs="Times New Roman"/>
          <w:color w:val="000000" w:themeColor="text1"/>
          <w:sz w:val="24"/>
          <w:szCs w:val="21"/>
          <w:highlight w:val="none"/>
        </w:rPr>
      </w:pPr>
      <w:r>
        <w:rPr>
          <w:rFonts w:ascii="Times New Roman" w:hAnsi="Times New Roman" w:eastAsia="宋体" w:cs="Times New Roman"/>
          <w:color w:val="000000" w:themeColor="text1"/>
          <w:sz w:val="24"/>
          <w:szCs w:val="21"/>
          <w:highlight w:val="none"/>
        </w:rPr>
        <w:t>_________（投标人法定代表人姓名）特授权_________（被授权人姓名及身份证代码）代表我单位全权办理对上述项目的投标、签约等具体工作，并签署全部有关的文件、协议及合同。</w:t>
      </w:r>
    </w:p>
    <w:p>
      <w:pPr>
        <w:tabs>
          <w:tab w:val="left" w:pos="6300"/>
        </w:tabs>
        <w:snapToGrid w:val="0"/>
        <w:spacing w:line="400" w:lineRule="exact"/>
        <w:ind w:firstLine="555"/>
        <w:rPr>
          <w:rFonts w:ascii="Times New Roman" w:hAnsi="Times New Roman" w:eastAsia="宋体" w:cs="Times New Roman"/>
          <w:color w:val="000000" w:themeColor="text1"/>
          <w:sz w:val="24"/>
          <w:szCs w:val="21"/>
          <w:highlight w:val="none"/>
        </w:rPr>
      </w:pPr>
      <w:r>
        <w:rPr>
          <w:rFonts w:ascii="Times New Roman" w:hAnsi="Times New Roman" w:eastAsia="宋体" w:cs="Times New Roman"/>
          <w:color w:val="000000" w:themeColor="text1"/>
          <w:sz w:val="24"/>
          <w:szCs w:val="21"/>
          <w:highlight w:val="none"/>
        </w:rPr>
        <w:t>我单位对被授权人的签名负全部责任。</w:t>
      </w:r>
    </w:p>
    <w:p>
      <w:pPr>
        <w:tabs>
          <w:tab w:val="left" w:pos="6300"/>
        </w:tabs>
        <w:snapToGrid w:val="0"/>
        <w:spacing w:line="400" w:lineRule="exact"/>
        <w:ind w:firstLine="555"/>
        <w:rPr>
          <w:rFonts w:ascii="Times New Roman" w:hAnsi="Times New Roman" w:eastAsia="宋体" w:cs="Times New Roman"/>
          <w:color w:val="000000" w:themeColor="text1"/>
          <w:sz w:val="24"/>
          <w:szCs w:val="21"/>
          <w:highlight w:val="none"/>
        </w:rPr>
      </w:pPr>
      <w:r>
        <w:rPr>
          <w:rFonts w:ascii="Times New Roman" w:hAnsi="Times New Roman" w:eastAsia="宋体" w:cs="Times New Roman"/>
          <w:color w:val="000000" w:themeColor="text1"/>
          <w:sz w:val="24"/>
          <w:szCs w:val="21"/>
          <w:highlight w:val="none"/>
        </w:rPr>
        <w:t>在撤消授权的书面通知以前，本授权书一直有效。被授权人签署的所有文件（在授权书有效期内签署的）不因授权的撤消而失效。</w:t>
      </w:r>
    </w:p>
    <w:p>
      <w:pPr>
        <w:tabs>
          <w:tab w:val="left" w:pos="6300"/>
        </w:tabs>
        <w:snapToGrid w:val="0"/>
        <w:spacing w:line="400" w:lineRule="exact"/>
        <w:rPr>
          <w:rFonts w:ascii="Times New Roman" w:hAnsi="Times New Roman" w:eastAsia="宋体" w:cs="Times New Roman"/>
          <w:color w:val="000000" w:themeColor="text1"/>
          <w:sz w:val="24"/>
          <w:szCs w:val="21"/>
          <w:highlight w:val="none"/>
        </w:rPr>
      </w:pPr>
    </w:p>
    <w:p>
      <w:pPr>
        <w:tabs>
          <w:tab w:val="left" w:pos="6300"/>
        </w:tabs>
        <w:snapToGrid w:val="0"/>
        <w:spacing w:line="400" w:lineRule="exact"/>
        <w:rPr>
          <w:rFonts w:ascii="Times New Roman" w:hAnsi="Times New Roman" w:eastAsia="宋体" w:cs="Times New Roman"/>
          <w:color w:val="000000" w:themeColor="text1"/>
          <w:sz w:val="24"/>
          <w:szCs w:val="21"/>
          <w:highlight w:val="none"/>
        </w:rPr>
      </w:pPr>
    </w:p>
    <w:tbl>
      <w:tblPr>
        <w:tblStyle w:val="55"/>
        <w:tblW w:w="5025" w:type="dxa"/>
        <w:tblInd w:w="1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70" w:hRule="atLeast"/>
        </w:trPr>
        <w:tc>
          <w:tcPr>
            <w:tcW w:w="5025" w:type="dxa"/>
          </w:tcPr>
          <w:p>
            <w:pPr>
              <w:tabs>
                <w:tab w:val="left" w:pos="6300"/>
              </w:tabs>
              <w:snapToGrid w:val="0"/>
              <w:spacing w:line="400" w:lineRule="exact"/>
              <w:rPr>
                <w:rFonts w:ascii="Times New Roman" w:hAnsi="Times New Roman" w:eastAsia="宋体" w:cs="Times New Roman"/>
                <w:color w:val="000000" w:themeColor="text1"/>
                <w:sz w:val="24"/>
                <w:szCs w:val="21"/>
                <w:highlight w:val="none"/>
              </w:rPr>
            </w:pPr>
            <w:r>
              <w:rPr>
                <w:rFonts w:ascii="Times New Roman" w:hAnsi="Times New Roman" w:eastAsia="宋体" w:cs="Times New Roman"/>
                <w:color w:val="000000" w:themeColor="text1"/>
                <w:sz w:val="24"/>
                <w:szCs w:val="21"/>
                <w:highlight w:val="none"/>
              </w:rPr>
              <w:t>此处粘贴“被授权人身份证双面复印”</w:t>
            </w:r>
          </w:p>
          <w:p>
            <w:pPr>
              <w:tabs>
                <w:tab w:val="left" w:pos="6300"/>
              </w:tabs>
              <w:snapToGrid w:val="0"/>
              <w:spacing w:line="400" w:lineRule="exact"/>
              <w:rPr>
                <w:rFonts w:ascii="Times New Roman" w:hAnsi="Times New Roman" w:eastAsia="宋体" w:cs="Times New Roman"/>
                <w:color w:val="000000" w:themeColor="text1"/>
                <w:sz w:val="24"/>
                <w:szCs w:val="21"/>
                <w:highlight w:val="none"/>
              </w:rPr>
            </w:pPr>
          </w:p>
          <w:p>
            <w:pPr>
              <w:tabs>
                <w:tab w:val="left" w:pos="6300"/>
              </w:tabs>
              <w:snapToGrid w:val="0"/>
              <w:spacing w:line="400" w:lineRule="exact"/>
              <w:rPr>
                <w:rFonts w:ascii="Times New Roman" w:hAnsi="Times New Roman" w:eastAsia="宋体" w:cs="Times New Roman"/>
                <w:color w:val="000000" w:themeColor="text1"/>
                <w:sz w:val="24"/>
                <w:szCs w:val="21"/>
                <w:highlight w:val="none"/>
              </w:rPr>
            </w:pPr>
          </w:p>
          <w:p>
            <w:pPr>
              <w:tabs>
                <w:tab w:val="left" w:pos="6300"/>
              </w:tabs>
              <w:snapToGrid w:val="0"/>
              <w:spacing w:line="400" w:lineRule="exact"/>
              <w:rPr>
                <w:rFonts w:ascii="Times New Roman" w:hAnsi="Times New Roman" w:eastAsia="宋体" w:cs="Times New Roman"/>
                <w:color w:val="000000" w:themeColor="text1"/>
                <w:sz w:val="24"/>
                <w:szCs w:val="21"/>
                <w:highlight w:val="none"/>
              </w:rPr>
            </w:pPr>
          </w:p>
          <w:p>
            <w:pPr>
              <w:tabs>
                <w:tab w:val="left" w:pos="6300"/>
              </w:tabs>
              <w:snapToGrid w:val="0"/>
              <w:spacing w:line="400" w:lineRule="exact"/>
              <w:rPr>
                <w:rFonts w:ascii="Times New Roman" w:hAnsi="Times New Roman" w:eastAsia="宋体" w:cs="Times New Roman"/>
                <w:color w:val="000000" w:themeColor="text1"/>
                <w:sz w:val="24"/>
                <w:szCs w:val="21"/>
                <w:highlight w:val="none"/>
              </w:rPr>
            </w:pPr>
          </w:p>
          <w:p>
            <w:pPr>
              <w:tabs>
                <w:tab w:val="left" w:pos="6300"/>
              </w:tabs>
              <w:snapToGrid w:val="0"/>
              <w:spacing w:line="400" w:lineRule="exact"/>
              <w:rPr>
                <w:rFonts w:ascii="Times New Roman" w:hAnsi="Times New Roman" w:eastAsia="宋体" w:cs="Times New Roman"/>
                <w:color w:val="000000" w:themeColor="text1"/>
                <w:sz w:val="24"/>
                <w:szCs w:val="21"/>
                <w:highlight w:val="none"/>
              </w:rPr>
            </w:pPr>
          </w:p>
          <w:p>
            <w:pPr>
              <w:tabs>
                <w:tab w:val="left" w:pos="6300"/>
              </w:tabs>
              <w:snapToGrid w:val="0"/>
              <w:spacing w:line="400" w:lineRule="exact"/>
              <w:rPr>
                <w:rFonts w:ascii="Times New Roman" w:hAnsi="Times New Roman" w:eastAsia="宋体" w:cs="Times New Roman"/>
                <w:color w:val="000000" w:themeColor="text1"/>
                <w:sz w:val="2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70" w:hRule="atLeast"/>
        </w:trPr>
        <w:tc>
          <w:tcPr>
            <w:tcW w:w="5025" w:type="dxa"/>
            <w:tcBorders>
              <w:top w:val="single" w:color="auto" w:sz="4" w:space="0"/>
              <w:left w:val="single" w:color="auto" w:sz="4" w:space="0"/>
              <w:bottom w:val="single" w:color="auto" w:sz="4" w:space="0"/>
              <w:right w:val="single" w:color="auto" w:sz="4" w:space="0"/>
            </w:tcBorders>
          </w:tcPr>
          <w:p>
            <w:pPr>
              <w:tabs>
                <w:tab w:val="left" w:pos="6300"/>
              </w:tabs>
              <w:snapToGrid w:val="0"/>
              <w:spacing w:line="400" w:lineRule="exact"/>
              <w:rPr>
                <w:rFonts w:ascii="Times New Roman" w:hAnsi="Times New Roman" w:eastAsia="宋体" w:cs="Times New Roman"/>
                <w:color w:val="000000" w:themeColor="text1"/>
                <w:sz w:val="24"/>
                <w:szCs w:val="21"/>
                <w:highlight w:val="none"/>
              </w:rPr>
            </w:pPr>
          </w:p>
          <w:p>
            <w:pPr>
              <w:tabs>
                <w:tab w:val="left" w:pos="6300"/>
              </w:tabs>
              <w:snapToGrid w:val="0"/>
              <w:spacing w:line="400" w:lineRule="exact"/>
              <w:rPr>
                <w:rFonts w:ascii="Times New Roman" w:hAnsi="Times New Roman" w:eastAsia="宋体" w:cs="Times New Roman"/>
                <w:color w:val="000000" w:themeColor="text1"/>
                <w:sz w:val="24"/>
                <w:szCs w:val="21"/>
                <w:highlight w:val="none"/>
              </w:rPr>
            </w:pPr>
          </w:p>
          <w:p>
            <w:pPr>
              <w:tabs>
                <w:tab w:val="left" w:pos="6300"/>
              </w:tabs>
              <w:snapToGrid w:val="0"/>
              <w:spacing w:line="400" w:lineRule="exact"/>
              <w:rPr>
                <w:rFonts w:ascii="Times New Roman" w:hAnsi="Times New Roman" w:eastAsia="宋体" w:cs="Times New Roman"/>
                <w:color w:val="000000" w:themeColor="text1"/>
                <w:sz w:val="24"/>
                <w:szCs w:val="21"/>
                <w:highlight w:val="none"/>
              </w:rPr>
            </w:pPr>
          </w:p>
          <w:p>
            <w:pPr>
              <w:tabs>
                <w:tab w:val="left" w:pos="6300"/>
              </w:tabs>
              <w:snapToGrid w:val="0"/>
              <w:spacing w:line="400" w:lineRule="exact"/>
              <w:rPr>
                <w:rFonts w:ascii="Times New Roman" w:hAnsi="Times New Roman" w:eastAsia="宋体" w:cs="Times New Roman"/>
                <w:color w:val="000000" w:themeColor="text1"/>
                <w:sz w:val="24"/>
                <w:szCs w:val="21"/>
                <w:highlight w:val="none"/>
              </w:rPr>
            </w:pPr>
          </w:p>
          <w:p>
            <w:pPr>
              <w:tabs>
                <w:tab w:val="left" w:pos="6300"/>
              </w:tabs>
              <w:snapToGrid w:val="0"/>
              <w:spacing w:line="400" w:lineRule="exact"/>
              <w:rPr>
                <w:rFonts w:ascii="Times New Roman" w:hAnsi="Times New Roman" w:eastAsia="宋体" w:cs="Times New Roman"/>
                <w:color w:val="000000" w:themeColor="text1"/>
                <w:sz w:val="24"/>
                <w:szCs w:val="21"/>
                <w:highlight w:val="none"/>
              </w:rPr>
            </w:pPr>
          </w:p>
          <w:p>
            <w:pPr>
              <w:tabs>
                <w:tab w:val="left" w:pos="6300"/>
              </w:tabs>
              <w:snapToGrid w:val="0"/>
              <w:spacing w:line="400" w:lineRule="exact"/>
              <w:rPr>
                <w:rFonts w:ascii="Times New Roman" w:hAnsi="Times New Roman" w:eastAsia="宋体" w:cs="Times New Roman"/>
                <w:color w:val="000000" w:themeColor="text1"/>
                <w:sz w:val="24"/>
                <w:szCs w:val="21"/>
                <w:highlight w:val="none"/>
              </w:rPr>
            </w:pPr>
          </w:p>
        </w:tc>
      </w:tr>
    </w:tbl>
    <w:p>
      <w:pPr>
        <w:tabs>
          <w:tab w:val="left" w:pos="6300"/>
        </w:tabs>
        <w:snapToGrid w:val="0"/>
        <w:spacing w:line="400" w:lineRule="exact"/>
        <w:rPr>
          <w:rFonts w:ascii="Times New Roman" w:hAnsi="Times New Roman" w:eastAsia="宋体" w:cs="Times New Roman"/>
          <w:color w:val="000000" w:themeColor="text1"/>
          <w:sz w:val="24"/>
          <w:szCs w:val="21"/>
          <w:highlight w:val="none"/>
        </w:rPr>
      </w:pPr>
    </w:p>
    <w:p>
      <w:pPr>
        <w:tabs>
          <w:tab w:val="left" w:pos="6300"/>
        </w:tabs>
        <w:snapToGrid w:val="0"/>
        <w:spacing w:line="400" w:lineRule="exact"/>
        <w:rPr>
          <w:rFonts w:ascii="Times New Roman" w:hAnsi="Times New Roman" w:eastAsia="宋体" w:cs="Times New Roman"/>
          <w:b/>
          <w:color w:val="000000" w:themeColor="text1"/>
          <w:sz w:val="24"/>
          <w:szCs w:val="21"/>
          <w:highlight w:val="none"/>
        </w:rPr>
      </w:pPr>
      <w:r>
        <w:rPr>
          <w:rFonts w:ascii="Times New Roman" w:hAnsi="Times New Roman" w:eastAsia="宋体" w:cs="Times New Roman"/>
          <w:b/>
          <w:color w:val="000000" w:themeColor="text1"/>
          <w:sz w:val="24"/>
          <w:szCs w:val="21"/>
          <w:highlight w:val="none"/>
        </w:rPr>
        <w:t>被授权人签名或盖章：</w:t>
      </w:r>
      <w:r>
        <w:rPr>
          <w:rFonts w:hint="eastAsia" w:ascii="Times New Roman" w:hAnsi="Times New Roman" w:eastAsia="宋体" w:cs="Times New Roman"/>
          <w:b/>
          <w:color w:val="000000" w:themeColor="text1"/>
          <w:sz w:val="24"/>
          <w:szCs w:val="21"/>
          <w:highlight w:val="none"/>
        </w:rPr>
        <w:t xml:space="preserve">                          </w:t>
      </w:r>
      <w:r>
        <w:rPr>
          <w:rFonts w:ascii="Times New Roman" w:hAnsi="Times New Roman" w:eastAsia="宋体" w:cs="Times New Roman"/>
          <w:b/>
          <w:color w:val="000000" w:themeColor="text1"/>
          <w:sz w:val="24"/>
          <w:szCs w:val="21"/>
          <w:highlight w:val="none"/>
        </w:rPr>
        <w:t>法定代表人签名或盖章：</w:t>
      </w:r>
    </w:p>
    <w:p>
      <w:pPr>
        <w:tabs>
          <w:tab w:val="left" w:pos="6300"/>
        </w:tabs>
        <w:snapToGrid w:val="0"/>
        <w:spacing w:line="400" w:lineRule="exact"/>
        <w:rPr>
          <w:rFonts w:ascii="Times New Roman" w:hAnsi="Times New Roman" w:eastAsia="宋体" w:cs="Times New Roman"/>
          <w:color w:val="000000" w:themeColor="text1"/>
          <w:sz w:val="24"/>
          <w:szCs w:val="21"/>
          <w:highlight w:val="none"/>
        </w:rPr>
      </w:pPr>
      <w:r>
        <w:rPr>
          <w:rFonts w:ascii="Times New Roman" w:hAnsi="Times New Roman" w:eastAsia="宋体" w:cs="Times New Roman"/>
          <w:color w:val="000000" w:themeColor="text1"/>
          <w:sz w:val="24"/>
          <w:szCs w:val="21"/>
          <w:highlight w:val="none"/>
        </w:rPr>
        <w:t>职务：</w:t>
      </w:r>
      <w:r>
        <w:rPr>
          <w:rFonts w:hint="eastAsia" w:ascii="Times New Roman" w:hAnsi="Times New Roman" w:eastAsia="宋体" w:cs="Times New Roman"/>
          <w:color w:val="000000" w:themeColor="text1"/>
          <w:sz w:val="24"/>
          <w:szCs w:val="21"/>
          <w:highlight w:val="none"/>
        </w:rPr>
        <w:t xml:space="preserve">                                        </w:t>
      </w:r>
      <w:r>
        <w:rPr>
          <w:rFonts w:ascii="Times New Roman" w:hAnsi="Times New Roman" w:eastAsia="宋体" w:cs="Times New Roman"/>
          <w:color w:val="000000" w:themeColor="text1"/>
          <w:sz w:val="24"/>
          <w:szCs w:val="21"/>
          <w:highlight w:val="none"/>
        </w:rPr>
        <w:t>职务：</w:t>
      </w:r>
    </w:p>
    <w:p>
      <w:pPr>
        <w:tabs>
          <w:tab w:val="left" w:pos="6300"/>
        </w:tabs>
        <w:snapToGrid w:val="0"/>
        <w:spacing w:line="400" w:lineRule="exact"/>
        <w:rPr>
          <w:rFonts w:ascii="Times New Roman" w:hAnsi="Times New Roman" w:eastAsia="宋体" w:cs="Times New Roman"/>
          <w:color w:val="000000" w:themeColor="text1"/>
          <w:sz w:val="24"/>
          <w:szCs w:val="21"/>
          <w:highlight w:val="none"/>
        </w:rPr>
      </w:pPr>
    </w:p>
    <w:p>
      <w:pPr>
        <w:snapToGrid w:val="0"/>
        <w:spacing w:line="400" w:lineRule="exact"/>
        <w:rPr>
          <w:rFonts w:ascii="Times New Roman" w:hAnsi="Times New Roman" w:eastAsia="宋体" w:cs="Times New Roman"/>
          <w:color w:val="000000" w:themeColor="text1"/>
          <w:sz w:val="24"/>
          <w:szCs w:val="21"/>
          <w:highlight w:val="none"/>
          <w:u w:val="single"/>
        </w:rPr>
      </w:pPr>
      <w:r>
        <w:rPr>
          <w:rFonts w:ascii="Times New Roman" w:hAnsi="Times New Roman" w:eastAsia="宋体" w:cs="Times New Roman"/>
          <w:color w:val="000000" w:themeColor="text1"/>
          <w:sz w:val="24"/>
          <w:szCs w:val="21"/>
          <w:highlight w:val="none"/>
        </w:rPr>
        <w:t>投标人：（公章）</w:t>
      </w:r>
    </w:p>
    <w:p>
      <w:pPr>
        <w:snapToGrid w:val="0"/>
        <w:spacing w:line="400" w:lineRule="exact"/>
        <w:ind w:firstLine="960" w:firstLineChars="400"/>
        <w:rPr>
          <w:rFonts w:ascii="Times New Roman" w:hAnsi="Times New Roman" w:eastAsia="宋体" w:cs="Times New Roman"/>
          <w:color w:val="000000" w:themeColor="text1"/>
          <w:sz w:val="24"/>
          <w:szCs w:val="21"/>
          <w:highlight w:val="none"/>
        </w:rPr>
      </w:pPr>
      <w:r>
        <w:rPr>
          <w:rFonts w:ascii="Times New Roman" w:hAnsi="Times New Roman" w:eastAsia="宋体" w:cs="Times New Roman"/>
          <w:color w:val="000000" w:themeColor="text1"/>
          <w:sz w:val="24"/>
          <w:szCs w:val="21"/>
          <w:highlight w:val="none"/>
        </w:rPr>
        <w:t>年月日</w:t>
      </w:r>
    </w:p>
    <w:p>
      <w:pPr>
        <w:spacing w:line="400" w:lineRule="exact"/>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br w:type="page"/>
      </w:r>
    </w:p>
    <w:p>
      <w:pPr>
        <w:spacing w:line="500" w:lineRule="exact"/>
        <w:jc w:val="center"/>
        <w:outlineLvl w:val="1"/>
        <w:rPr>
          <w:rFonts w:ascii="Times New Roman" w:hAnsi="Times New Roman" w:eastAsia="宋体" w:cs="Times New Roman"/>
          <w:b/>
          <w:color w:val="000000" w:themeColor="text1"/>
          <w:sz w:val="44"/>
          <w:szCs w:val="44"/>
          <w:highlight w:val="none"/>
        </w:rPr>
      </w:pPr>
      <w:bookmarkStart w:id="159" w:name="_Toc10452"/>
      <w:r>
        <w:rPr>
          <w:rFonts w:ascii="Times New Roman" w:hAnsi="Times New Roman" w:eastAsia="宋体" w:cs="Times New Roman"/>
          <w:b/>
          <w:color w:val="000000" w:themeColor="text1"/>
          <w:sz w:val="44"/>
          <w:szCs w:val="44"/>
          <w:highlight w:val="none"/>
        </w:rPr>
        <w:t>B：资格、技术、商务部分</w:t>
      </w:r>
      <w:bookmarkEnd w:id="159"/>
    </w:p>
    <w:p>
      <w:pPr>
        <w:autoSpaceDE w:val="0"/>
        <w:autoSpaceDN w:val="0"/>
        <w:adjustRightInd w:val="0"/>
        <w:snapToGrid w:val="0"/>
        <w:spacing w:line="400" w:lineRule="exact"/>
        <w:jc w:val="left"/>
        <w:rPr>
          <w:rFonts w:ascii="Times New Roman" w:hAnsi="Times New Roman" w:eastAsia="宋体" w:cs="Times New Roman"/>
          <w:color w:val="000000" w:themeColor="text1"/>
          <w:sz w:val="32"/>
          <w:szCs w:val="24"/>
          <w:highlight w:val="none"/>
        </w:rPr>
      </w:pPr>
    </w:p>
    <w:p>
      <w:pPr>
        <w:autoSpaceDE w:val="0"/>
        <w:autoSpaceDN w:val="0"/>
        <w:adjustRightInd w:val="0"/>
        <w:snapToGrid w:val="0"/>
        <w:spacing w:line="400" w:lineRule="exact"/>
        <w:jc w:val="left"/>
        <w:rPr>
          <w:rFonts w:ascii="Times New Roman" w:hAnsi="Times New Roman" w:eastAsia="宋体" w:cs="Times New Roman"/>
          <w:color w:val="000000" w:themeColor="text1"/>
          <w:szCs w:val="24"/>
          <w:highlight w:val="none"/>
        </w:rPr>
      </w:pPr>
    </w:p>
    <w:p>
      <w:pPr>
        <w:autoSpaceDE w:val="0"/>
        <w:autoSpaceDN w:val="0"/>
        <w:adjustRightInd w:val="0"/>
        <w:snapToGrid w:val="0"/>
        <w:spacing w:line="400" w:lineRule="exact"/>
        <w:jc w:val="left"/>
        <w:rPr>
          <w:rFonts w:ascii="Times New Roman" w:hAnsi="Times New Roman" w:eastAsia="宋体" w:cs="Times New Roman"/>
          <w:color w:val="000000" w:themeColor="text1"/>
          <w:szCs w:val="24"/>
          <w:highlight w:val="none"/>
        </w:rPr>
      </w:pPr>
    </w:p>
    <w:p>
      <w:pPr>
        <w:autoSpaceDE w:val="0"/>
        <w:autoSpaceDN w:val="0"/>
        <w:adjustRightInd w:val="0"/>
        <w:snapToGrid w:val="0"/>
        <w:spacing w:line="400" w:lineRule="exact"/>
        <w:jc w:val="left"/>
        <w:rPr>
          <w:rFonts w:ascii="Times New Roman" w:hAnsi="Times New Roman" w:eastAsia="宋体" w:cs="Times New Roman"/>
          <w:color w:val="000000" w:themeColor="text1"/>
          <w:szCs w:val="24"/>
          <w:highlight w:val="none"/>
        </w:rPr>
      </w:pPr>
    </w:p>
    <w:p>
      <w:pPr>
        <w:autoSpaceDE w:val="0"/>
        <w:autoSpaceDN w:val="0"/>
        <w:adjustRightInd w:val="0"/>
        <w:snapToGrid w:val="0"/>
        <w:spacing w:line="400" w:lineRule="exact"/>
        <w:jc w:val="left"/>
        <w:rPr>
          <w:rFonts w:ascii="Times New Roman" w:hAnsi="Times New Roman" w:eastAsia="宋体" w:cs="Times New Roman"/>
          <w:color w:val="000000" w:themeColor="text1"/>
          <w:szCs w:val="24"/>
          <w:highlight w:val="none"/>
        </w:rPr>
      </w:pPr>
    </w:p>
    <w:p>
      <w:pPr>
        <w:autoSpaceDE w:val="0"/>
        <w:autoSpaceDN w:val="0"/>
        <w:adjustRightInd w:val="0"/>
        <w:snapToGrid w:val="0"/>
        <w:spacing w:line="400" w:lineRule="exact"/>
        <w:jc w:val="left"/>
        <w:rPr>
          <w:rFonts w:ascii="Times New Roman" w:hAnsi="Times New Roman" w:eastAsia="宋体" w:cs="Times New Roman"/>
          <w:b/>
          <w:color w:val="000000" w:themeColor="text1"/>
          <w:szCs w:val="24"/>
          <w:highlight w:val="none"/>
        </w:rPr>
      </w:pPr>
    </w:p>
    <w:p>
      <w:pPr>
        <w:autoSpaceDE w:val="0"/>
        <w:autoSpaceDN w:val="0"/>
        <w:adjustRightInd w:val="0"/>
        <w:snapToGrid w:val="0"/>
        <w:spacing w:line="400" w:lineRule="exact"/>
        <w:jc w:val="left"/>
        <w:rPr>
          <w:rFonts w:ascii="Times New Roman" w:hAnsi="Times New Roman" w:eastAsia="宋体" w:cs="Times New Roman"/>
          <w:b/>
          <w:color w:val="000000" w:themeColor="text1"/>
          <w:szCs w:val="24"/>
          <w:highlight w:val="none"/>
        </w:rPr>
      </w:pPr>
    </w:p>
    <w:p>
      <w:pPr>
        <w:autoSpaceDE w:val="0"/>
        <w:autoSpaceDN w:val="0"/>
        <w:adjustRightInd w:val="0"/>
        <w:snapToGrid w:val="0"/>
        <w:spacing w:line="400" w:lineRule="exact"/>
        <w:jc w:val="left"/>
        <w:rPr>
          <w:rFonts w:ascii="Times New Roman" w:hAnsi="Times New Roman" w:eastAsia="宋体" w:cs="Times New Roman"/>
          <w:b/>
          <w:color w:val="000000" w:themeColor="text1"/>
          <w:szCs w:val="24"/>
          <w:highlight w:val="none"/>
        </w:rPr>
      </w:pPr>
    </w:p>
    <w:p>
      <w:pPr>
        <w:autoSpaceDE w:val="0"/>
        <w:autoSpaceDN w:val="0"/>
        <w:adjustRightInd w:val="0"/>
        <w:snapToGrid w:val="0"/>
        <w:spacing w:line="400" w:lineRule="exact"/>
        <w:jc w:val="left"/>
        <w:rPr>
          <w:rFonts w:ascii="Times New Roman" w:hAnsi="Times New Roman" w:eastAsia="宋体" w:cs="Times New Roman"/>
          <w:b/>
          <w:color w:val="000000" w:themeColor="text1"/>
          <w:szCs w:val="24"/>
          <w:highlight w:val="none"/>
        </w:rPr>
      </w:pPr>
    </w:p>
    <w:p>
      <w:pPr>
        <w:autoSpaceDE w:val="0"/>
        <w:autoSpaceDN w:val="0"/>
        <w:adjustRightInd w:val="0"/>
        <w:snapToGrid w:val="0"/>
        <w:spacing w:line="400" w:lineRule="exact"/>
        <w:jc w:val="left"/>
        <w:rPr>
          <w:rFonts w:ascii="Times New Roman" w:hAnsi="Times New Roman" w:eastAsia="宋体" w:cs="Times New Roman"/>
          <w:b/>
          <w:color w:val="000000" w:themeColor="text1"/>
          <w:szCs w:val="24"/>
          <w:highlight w:val="none"/>
        </w:rPr>
      </w:pPr>
    </w:p>
    <w:p>
      <w:pPr>
        <w:autoSpaceDE w:val="0"/>
        <w:autoSpaceDN w:val="0"/>
        <w:adjustRightInd w:val="0"/>
        <w:snapToGrid w:val="0"/>
        <w:spacing w:line="400" w:lineRule="exact"/>
        <w:jc w:val="left"/>
        <w:rPr>
          <w:rFonts w:ascii="Times New Roman" w:hAnsi="Times New Roman" w:eastAsia="宋体" w:cs="Times New Roman"/>
          <w:b/>
          <w:color w:val="000000" w:themeColor="text1"/>
          <w:szCs w:val="24"/>
          <w:highlight w:val="none"/>
        </w:rPr>
      </w:pPr>
    </w:p>
    <w:p>
      <w:pPr>
        <w:spacing w:line="400" w:lineRule="exact"/>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br w:type="page"/>
      </w:r>
    </w:p>
    <w:p>
      <w:pPr>
        <w:spacing w:line="400" w:lineRule="exact"/>
        <w:rPr>
          <w:rFonts w:ascii="Times New Roman" w:hAnsi="Times New Roman" w:eastAsia="宋体" w:cs="Times New Roman"/>
          <w:color w:val="000000" w:themeColor="text1"/>
          <w:sz w:val="24"/>
          <w:szCs w:val="24"/>
          <w:highlight w:val="none"/>
        </w:rPr>
      </w:pPr>
    </w:p>
    <w:p>
      <w:pPr>
        <w:keepNext/>
        <w:keepLines/>
        <w:tabs>
          <w:tab w:val="left" w:pos="1418"/>
        </w:tabs>
        <w:spacing w:before="260" w:after="260" w:line="400" w:lineRule="exact"/>
        <w:ind w:firstLine="284"/>
        <w:outlineLvl w:val="2"/>
        <w:rPr>
          <w:rFonts w:ascii="Times New Roman" w:hAnsi="Times New Roman" w:eastAsia="宋体" w:cs="Times New Roman"/>
          <w:b/>
          <w:color w:val="000000" w:themeColor="text1"/>
          <w:kern w:val="0"/>
          <w:sz w:val="24"/>
          <w:szCs w:val="24"/>
          <w:highlight w:val="none"/>
        </w:rPr>
      </w:pPr>
      <w:bookmarkStart w:id="160" w:name="_Toc11406"/>
      <w:bookmarkStart w:id="161" w:name="_Toc419964637"/>
      <w:bookmarkStart w:id="162" w:name="_Toc354044653"/>
      <w:r>
        <w:rPr>
          <w:rFonts w:hint="eastAsia" w:ascii="Times New Roman" w:hAnsi="Times New Roman" w:eastAsia="宋体" w:cs="Times New Roman"/>
          <w:b/>
          <w:color w:val="000000" w:themeColor="text1"/>
          <w:kern w:val="0"/>
          <w:sz w:val="24"/>
          <w:szCs w:val="24"/>
          <w:highlight w:val="none"/>
        </w:rPr>
        <w:t>1</w:t>
      </w:r>
      <w:r>
        <w:rPr>
          <w:rFonts w:ascii="Times New Roman" w:hAnsi="Times New Roman" w:eastAsia="宋体" w:cs="Times New Roman"/>
          <w:b/>
          <w:color w:val="000000" w:themeColor="text1"/>
          <w:kern w:val="0"/>
          <w:sz w:val="24"/>
          <w:szCs w:val="24"/>
          <w:highlight w:val="none"/>
        </w:rPr>
        <w:t>：诚信声明</w:t>
      </w:r>
      <w:bookmarkEnd w:id="160"/>
      <w:bookmarkEnd w:id="161"/>
      <w:r>
        <w:rPr>
          <w:rFonts w:ascii="Times New Roman" w:hAnsi="Times New Roman" w:eastAsia="宋体" w:cs="Times New Roman"/>
          <w:b/>
          <w:color w:val="000000" w:themeColor="text1"/>
          <w:kern w:val="0"/>
          <w:sz w:val="24"/>
          <w:szCs w:val="24"/>
          <w:highlight w:val="none"/>
        </w:rPr>
        <w:t>及承诺</w:t>
      </w:r>
    </w:p>
    <w:p>
      <w:pPr>
        <w:tabs>
          <w:tab w:val="left" w:pos="6300"/>
        </w:tabs>
        <w:snapToGrid w:val="0"/>
        <w:spacing w:line="400" w:lineRule="exact"/>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致：</w:t>
      </w:r>
      <w:r>
        <w:rPr>
          <w:rFonts w:ascii="Times New Roman" w:hAnsi="Times New Roman" w:eastAsia="宋体" w:cs="Times New Roman"/>
          <w:color w:val="000000" w:themeColor="text1"/>
          <w:sz w:val="24"/>
          <w:szCs w:val="24"/>
          <w:highlight w:val="none"/>
          <w:u w:val="single"/>
        </w:rPr>
        <w:t>（招标人）</w:t>
      </w:r>
    </w:p>
    <w:p>
      <w:pPr>
        <w:spacing w:line="480" w:lineRule="auto"/>
        <w:ind w:firstLine="480" w:firstLineChars="200"/>
        <w:rPr>
          <w:rFonts w:ascii="宋体" w:hAnsi="宋体" w:eastAsia="宋体" w:cs="Times New Roman"/>
          <w:color w:val="000000" w:themeColor="text1"/>
          <w:kern w:val="0"/>
          <w:szCs w:val="21"/>
          <w:highlight w:val="none"/>
        </w:rPr>
      </w:pPr>
      <w:r>
        <w:rPr>
          <w:rFonts w:ascii="Times New Roman" w:hAnsi="Times New Roman" w:eastAsia="宋体" w:cs="Times New Roman"/>
          <w:color w:val="000000" w:themeColor="text1"/>
          <w:kern w:val="0"/>
          <w:sz w:val="24"/>
          <w:szCs w:val="24"/>
          <w:highlight w:val="none"/>
        </w:rPr>
        <w:t>我司申明：</w:t>
      </w:r>
    </w:p>
    <w:p>
      <w:pPr>
        <w:spacing w:line="480" w:lineRule="auto"/>
        <w:ind w:firstLine="480" w:firstLineChars="200"/>
        <w:rPr>
          <w:rFonts w:ascii="Times New Roman" w:hAnsi="Times New Roman" w:eastAsia="宋体" w:cs="Times New Roman"/>
          <w:color w:val="000000" w:themeColor="text1"/>
          <w:kern w:val="0"/>
          <w:sz w:val="24"/>
          <w:szCs w:val="24"/>
          <w:highlight w:val="none"/>
        </w:rPr>
      </w:pPr>
      <w:r>
        <w:rPr>
          <w:rFonts w:hint="eastAsia" w:ascii="Times New Roman" w:hAnsi="Times New Roman" w:eastAsia="宋体" w:cs="Times New Roman"/>
          <w:color w:val="000000" w:themeColor="text1"/>
          <w:kern w:val="0"/>
          <w:sz w:val="24"/>
          <w:szCs w:val="24"/>
          <w:highlight w:val="none"/>
        </w:rPr>
        <w:t>1、我司投标文件中提供的各项证明材料都是真实、可靠性的。若在评标及后续工作中发现证明材料的真实性、可靠性存在弄虚作假等行为，招标人有权取消我司中标资格并不予退还我司投标保证金（或履约保证金），我司愿赔偿相应损失并承担一切责任。</w:t>
      </w:r>
    </w:p>
    <w:p>
      <w:pPr>
        <w:spacing w:line="400" w:lineRule="exact"/>
        <w:ind w:firstLine="482" w:firstLineChars="200"/>
        <w:rPr>
          <w:rFonts w:ascii="宋体" w:hAnsi="宋体" w:eastAsia="宋体" w:cs="Times New Roman"/>
          <w:b/>
          <w:color w:val="000000" w:themeColor="text1"/>
          <w:kern w:val="0"/>
          <w:sz w:val="24"/>
          <w:szCs w:val="24"/>
          <w:highlight w:val="none"/>
          <w:u w:val="single"/>
        </w:rPr>
      </w:pPr>
      <w:r>
        <w:rPr>
          <w:rFonts w:hint="eastAsia" w:ascii="宋体" w:hAnsi="宋体" w:eastAsia="宋体" w:cs="Times New Roman"/>
          <w:b/>
          <w:color w:val="000000" w:themeColor="text1"/>
          <w:kern w:val="0"/>
          <w:sz w:val="24"/>
          <w:szCs w:val="24"/>
          <w:highlight w:val="none"/>
          <w:u w:val="single"/>
        </w:rPr>
        <w:t>2、我方完全认可：招标文件第二章投标人须知12.5保证金不予退还情况的相关规定。</w:t>
      </w:r>
    </w:p>
    <w:p>
      <w:pPr>
        <w:spacing w:line="400" w:lineRule="exact"/>
        <w:ind w:firstLine="480" w:firstLineChars="200"/>
        <w:rPr>
          <w:rFonts w:ascii="Times New Roman" w:hAnsi="Times New Roman" w:eastAsia="宋体" w:cs="Times New Roman"/>
          <w:color w:val="000000" w:themeColor="text1"/>
          <w:kern w:val="0"/>
          <w:sz w:val="24"/>
          <w:szCs w:val="24"/>
          <w:highlight w:val="none"/>
        </w:rPr>
      </w:pPr>
      <w:r>
        <w:rPr>
          <w:rFonts w:hint="eastAsia" w:ascii="Times New Roman" w:hAnsi="Times New Roman" w:eastAsia="宋体" w:cs="Times New Roman"/>
          <w:color w:val="000000" w:themeColor="text1"/>
          <w:kern w:val="0"/>
          <w:sz w:val="24"/>
          <w:szCs w:val="24"/>
          <w:highlight w:val="none"/>
        </w:rPr>
        <w:t>3、我方完全认可招标文件中有关“相关测试”（如果有）的相关要求和规定，并承诺严格按招标文件执行。</w:t>
      </w:r>
    </w:p>
    <w:p>
      <w:pPr>
        <w:spacing w:line="400" w:lineRule="exact"/>
        <w:ind w:firstLine="480" w:firstLineChars="200"/>
        <w:rPr>
          <w:rFonts w:ascii="Times New Roman" w:hAnsi="Times New Roman" w:eastAsia="宋体" w:cs="Times New Roman"/>
          <w:color w:val="000000" w:themeColor="text1"/>
          <w:kern w:val="0"/>
          <w:sz w:val="24"/>
          <w:szCs w:val="24"/>
          <w:highlight w:val="none"/>
        </w:rPr>
      </w:pPr>
    </w:p>
    <w:p>
      <w:pPr>
        <w:spacing w:line="400" w:lineRule="exact"/>
        <w:ind w:firstLine="480" w:firstLineChars="200"/>
        <w:rPr>
          <w:rFonts w:ascii="Times New Roman" w:hAnsi="Times New Roman" w:eastAsia="宋体" w:cs="Times New Roman"/>
          <w:color w:val="000000" w:themeColor="text1"/>
          <w:kern w:val="0"/>
          <w:sz w:val="24"/>
          <w:szCs w:val="24"/>
          <w:highlight w:val="none"/>
        </w:rPr>
      </w:pPr>
      <w:r>
        <w:rPr>
          <w:rFonts w:ascii="Times New Roman" w:hAnsi="Times New Roman" w:eastAsia="宋体" w:cs="Times New Roman"/>
          <w:color w:val="000000" w:themeColor="text1"/>
          <w:kern w:val="0"/>
          <w:sz w:val="24"/>
          <w:szCs w:val="24"/>
          <w:highlight w:val="none"/>
        </w:rPr>
        <w:t>……</w:t>
      </w:r>
    </w:p>
    <w:p>
      <w:pPr>
        <w:spacing w:line="400" w:lineRule="exact"/>
        <w:ind w:firstLine="801" w:firstLineChars="334"/>
        <w:rPr>
          <w:rFonts w:ascii="Times New Roman" w:hAnsi="Times New Roman" w:eastAsia="宋体" w:cs="Times New Roman"/>
          <w:color w:val="000000" w:themeColor="text1"/>
          <w:kern w:val="0"/>
          <w:sz w:val="24"/>
          <w:szCs w:val="24"/>
          <w:highlight w:val="none"/>
        </w:rPr>
      </w:pPr>
    </w:p>
    <w:p>
      <w:pPr>
        <w:tabs>
          <w:tab w:val="left" w:pos="6300"/>
        </w:tabs>
        <w:snapToGrid w:val="0"/>
        <w:spacing w:line="400" w:lineRule="exact"/>
        <w:ind w:right="420" w:firstLine="142"/>
        <w:rPr>
          <w:rFonts w:ascii="Times New Roman" w:hAnsi="Times New Roman" w:eastAsia="宋体" w:cs="Times New Roman"/>
          <w:b/>
          <w:color w:val="000000" w:themeColor="text1"/>
          <w:sz w:val="24"/>
          <w:szCs w:val="24"/>
          <w:highlight w:val="none"/>
        </w:rPr>
      </w:pPr>
      <w:r>
        <w:rPr>
          <w:rFonts w:ascii="Times New Roman" w:hAnsi="Times New Roman" w:eastAsia="宋体" w:cs="Times New Roman"/>
          <w:color w:val="000000" w:themeColor="text1"/>
          <w:sz w:val="24"/>
          <w:szCs w:val="24"/>
          <w:highlight w:val="none"/>
        </w:rPr>
        <w:t>注：投标人可在上述内容的基础上补充其他更优的承诺或说明。</w:t>
      </w:r>
    </w:p>
    <w:p>
      <w:pPr>
        <w:tabs>
          <w:tab w:val="left" w:pos="6300"/>
        </w:tabs>
        <w:snapToGrid w:val="0"/>
        <w:spacing w:line="400" w:lineRule="exact"/>
        <w:ind w:right="420"/>
        <w:jc w:val="left"/>
        <w:rPr>
          <w:rFonts w:ascii="Times New Roman" w:hAnsi="Times New Roman" w:eastAsia="宋体" w:cs="Times New Roman"/>
          <w:b/>
          <w:color w:val="000000" w:themeColor="text1"/>
          <w:sz w:val="24"/>
          <w:szCs w:val="24"/>
          <w:highlight w:val="none"/>
        </w:rPr>
      </w:pPr>
    </w:p>
    <w:p>
      <w:pPr>
        <w:tabs>
          <w:tab w:val="left" w:pos="6300"/>
        </w:tabs>
        <w:snapToGrid w:val="0"/>
        <w:spacing w:line="400" w:lineRule="exact"/>
        <w:ind w:right="420"/>
        <w:jc w:val="left"/>
        <w:rPr>
          <w:rFonts w:ascii="Times New Roman" w:hAnsi="Times New Roman" w:eastAsia="宋体" w:cs="Times New Roman"/>
          <w:b/>
          <w:color w:val="000000" w:themeColor="text1"/>
          <w:sz w:val="24"/>
          <w:szCs w:val="24"/>
          <w:highlight w:val="none"/>
        </w:rPr>
      </w:pPr>
    </w:p>
    <w:p>
      <w:pPr>
        <w:tabs>
          <w:tab w:val="left" w:pos="6300"/>
        </w:tabs>
        <w:snapToGrid w:val="0"/>
        <w:spacing w:line="400" w:lineRule="exact"/>
        <w:ind w:right="420"/>
        <w:jc w:val="left"/>
        <w:rPr>
          <w:rFonts w:ascii="Times New Roman" w:hAnsi="Times New Roman" w:eastAsia="宋体" w:cs="Times New Roman"/>
          <w:b/>
          <w:color w:val="000000" w:themeColor="text1"/>
          <w:sz w:val="24"/>
          <w:szCs w:val="24"/>
          <w:highlight w:val="none"/>
        </w:rPr>
      </w:pPr>
    </w:p>
    <w:p>
      <w:pPr>
        <w:tabs>
          <w:tab w:val="left" w:pos="6300"/>
        </w:tabs>
        <w:snapToGrid w:val="0"/>
        <w:spacing w:line="400" w:lineRule="exact"/>
        <w:ind w:right="420"/>
        <w:jc w:val="left"/>
        <w:rPr>
          <w:rFonts w:ascii="Times New Roman" w:hAnsi="Times New Roman" w:eastAsia="宋体" w:cs="Times New Roman"/>
          <w:b/>
          <w:color w:val="000000" w:themeColor="text1"/>
          <w:sz w:val="24"/>
          <w:szCs w:val="24"/>
          <w:highlight w:val="none"/>
        </w:rPr>
      </w:pPr>
      <w:r>
        <w:rPr>
          <w:rFonts w:ascii="Times New Roman" w:hAnsi="Times New Roman" w:eastAsia="宋体" w:cs="Times New Roman"/>
          <w:b/>
          <w:color w:val="000000" w:themeColor="text1"/>
          <w:sz w:val="24"/>
          <w:szCs w:val="24"/>
          <w:highlight w:val="none"/>
        </w:rPr>
        <w:t>投标人（公章）：</w:t>
      </w:r>
    </w:p>
    <w:p>
      <w:pPr>
        <w:tabs>
          <w:tab w:val="left" w:pos="6300"/>
        </w:tabs>
        <w:snapToGrid w:val="0"/>
        <w:spacing w:line="400" w:lineRule="exact"/>
        <w:ind w:right="420"/>
        <w:jc w:val="left"/>
        <w:rPr>
          <w:rFonts w:ascii="Times New Roman" w:hAnsi="Times New Roman" w:eastAsia="宋体" w:cs="Times New Roman"/>
          <w:b/>
          <w:color w:val="000000" w:themeColor="text1"/>
          <w:sz w:val="24"/>
          <w:szCs w:val="24"/>
          <w:highlight w:val="none"/>
        </w:rPr>
      </w:pPr>
      <w:r>
        <w:rPr>
          <w:rFonts w:ascii="Times New Roman" w:hAnsi="Times New Roman" w:eastAsia="宋体" w:cs="Times New Roman"/>
          <w:b/>
          <w:color w:val="000000" w:themeColor="text1"/>
          <w:sz w:val="24"/>
          <w:szCs w:val="24"/>
          <w:highlight w:val="none"/>
        </w:rPr>
        <w:t>法定代表人或其委托代理人：（盖章或签字）</w:t>
      </w:r>
    </w:p>
    <w:p>
      <w:pPr>
        <w:spacing w:line="400" w:lineRule="exact"/>
        <w:ind w:right="900" w:firstLine="3600" w:firstLineChars="1500"/>
        <w:jc w:val="left"/>
        <w:rPr>
          <w:rFonts w:ascii="Times New Roman" w:hAnsi="Times New Roman" w:eastAsia="宋体" w:cs="Times New Roman"/>
          <w:color w:val="000000" w:themeColor="text1"/>
          <w:sz w:val="24"/>
          <w:szCs w:val="24"/>
          <w:highlight w:val="none"/>
        </w:rPr>
      </w:pPr>
      <w:r>
        <w:rPr>
          <w:rFonts w:ascii="Times New Roman" w:hAnsi="Times New Roman" w:eastAsia="宋体" w:cs="Times New Roman"/>
          <w:color w:val="000000" w:themeColor="text1"/>
          <w:sz w:val="24"/>
          <w:szCs w:val="24"/>
          <w:highlight w:val="none"/>
        </w:rPr>
        <w:t>年月日</w:t>
      </w:r>
    </w:p>
    <w:p>
      <w:pPr>
        <w:spacing w:line="400" w:lineRule="exact"/>
        <w:rPr>
          <w:rFonts w:ascii="宋体" w:hAnsi="宋体" w:eastAsia="宋体" w:cs="Times New Roman"/>
          <w:color w:val="000000" w:themeColor="text1"/>
          <w:kern w:val="0"/>
          <w:szCs w:val="21"/>
          <w:highlight w:val="none"/>
          <w:u w:val="single"/>
        </w:rPr>
      </w:pPr>
      <w:r>
        <w:rPr>
          <w:rFonts w:ascii="Times New Roman" w:hAnsi="Times New Roman" w:eastAsia="宋体" w:cs="Times New Roman"/>
          <w:color w:val="000000" w:themeColor="text1"/>
          <w:sz w:val="24"/>
          <w:szCs w:val="24"/>
          <w:highlight w:val="none"/>
        </w:rPr>
        <w:br w:type="page"/>
      </w:r>
    </w:p>
    <w:bookmarkEnd w:id="162"/>
    <w:p>
      <w:pPr>
        <w:keepNext/>
        <w:keepLines/>
        <w:tabs>
          <w:tab w:val="left" w:pos="1418"/>
        </w:tabs>
        <w:spacing w:before="260" w:after="260" w:line="400" w:lineRule="exact"/>
        <w:ind w:firstLine="284"/>
        <w:outlineLvl w:val="2"/>
        <w:rPr>
          <w:rFonts w:ascii="Times New Roman" w:hAnsi="Times New Roman" w:eastAsia="宋体" w:cs="Times New Roman"/>
          <w:b/>
          <w:bCs/>
          <w:color w:val="000000" w:themeColor="text1"/>
          <w:kern w:val="0"/>
          <w:sz w:val="24"/>
          <w:szCs w:val="24"/>
          <w:highlight w:val="none"/>
        </w:rPr>
      </w:pPr>
      <w:bookmarkStart w:id="163" w:name="_Toc419964638"/>
      <w:bookmarkStart w:id="164" w:name="_Toc354044654"/>
      <w:bookmarkStart w:id="165" w:name="_Toc16719"/>
      <w:r>
        <w:rPr>
          <w:rFonts w:hint="eastAsia" w:ascii="Times New Roman" w:hAnsi="Times New Roman" w:eastAsia="宋体" w:cs="Times New Roman"/>
          <w:color w:val="000000" w:themeColor="text1"/>
          <w:sz w:val="24"/>
          <w:szCs w:val="24"/>
          <w:highlight w:val="none"/>
        </w:rPr>
        <w:t>2</w:t>
      </w:r>
      <w:r>
        <w:rPr>
          <w:rFonts w:ascii="Times New Roman" w:hAnsi="Times New Roman" w:eastAsia="宋体" w:cs="Times New Roman"/>
          <w:b/>
          <w:bCs/>
          <w:color w:val="000000" w:themeColor="text1"/>
          <w:kern w:val="0"/>
          <w:sz w:val="24"/>
          <w:szCs w:val="24"/>
          <w:highlight w:val="none"/>
        </w:rPr>
        <w:t>：</w:t>
      </w:r>
      <w:r>
        <w:rPr>
          <w:rFonts w:hint="eastAsia" w:ascii="Times New Roman" w:hAnsi="Times New Roman" w:eastAsia="宋体" w:cs="Times New Roman"/>
          <w:b/>
          <w:bCs/>
          <w:color w:val="000000" w:themeColor="text1"/>
          <w:kern w:val="0"/>
          <w:sz w:val="24"/>
          <w:szCs w:val="24"/>
          <w:highlight w:val="none"/>
        </w:rPr>
        <w:t>投标保证金</w:t>
      </w:r>
    </w:p>
    <w:p>
      <w:pPr>
        <w:keepNext/>
        <w:keepLines/>
        <w:tabs>
          <w:tab w:val="left" w:pos="1418"/>
        </w:tabs>
        <w:spacing w:before="260" w:after="260" w:line="400" w:lineRule="exact"/>
        <w:ind w:firstLine="284"/>
        <w:outlineLvl w:val="2"/>
        <w:rPr>
          <w:rFonts w:ascii="Times New Roman" w:hAnsi="Times New Roman" w:eastAsia="宋体" w:cs="Times New Roman"/>
          <w:color w:val="000000" w:themeColor="text1"/>
          <w:kern w:val="0"/>
          <w:sz w:val="24"/>
          <w:szCs w:val="24"/>
          <w:highlight w:val="none"/>
        </w:rPr>
      </w:pPr>
      <w:r>
        <w:rPr>
          <w:rFonts w:hint="eastAsia" w:ascii="Times New Roman" w:hAnsi="Times New Roman" w:eastAsia="宋体" w:cs="Times New Roman"/>
          <w:color w:val="000000" w:themeColor="text1"/>
          <w:kern w:val="0"/>
          <w:sz w:val="24"/>
          <w:szCs w:val="24"/>
          <w:highlight w:val="none"/>
        </w:rPr>
        <w:t>投标保证金提交凭证</w:t>
      </w:r>
    </w:p>
    <w:p>
      <w:pPr>
        <w:widowControl/>
        <w:jc w:val="left"/>
        <w:rPr>
          <w:rFonts w:ascii="Times New Roman" w:hAnsi="Times New Roman" w:eastAsia="宋体" w:cs="Times New Roman"/>
          <w:b/>
          <w:bCs/>
          <w:color w:val="000000" w:themeColor="text1"/>
          <w:kern w:val="0"/>
          <w:sz w:val="24"/>
          <w:szCs w:val="24"/>
          <w:highlight w:val="none"/>
        </w:rPr>
      </w:pPr>
      <w:r>
        <w:rPr>
          <w:rFonts w:ascii="Times New Roman" w:hAnsi="Times New Roman" w:eastAsia="宋体" w:cs="Times New Roman"/>
          <w:b/>
          <w:bCs/>
          <w:color w:val="000000" w:themeColor="text1"/>
          <w:kern w:val="0"/>
          <w:sz w:val="24"/>
          <w:szCs w:val="24"/>
          <w:highlight w:val="none"/>
        </w:rPr>
        <w:br w:type="page"/>
      </w:r>
    </w:p>
    <w:p>
      <w:pPr>
        <w:keepNext/>
        <w:keepLines/>
        <w:tabs>
          <w:tab w:val="left" w:pos="1418"/>
        </w:tabs>
        <w:spacing w:before="260" w:after="260" w:line="400" w:lineRule="exact"/>
        <w:ind w:firstLine="284"/>
        <w:outlineLvl w:val="2"/>
        <w:rPr>
          <w:rFonts w:ascii="Times New Roman" w:hAnsi="Times New Roman" w:eastAsia="宋体" w:cs="Times New Roman"/>
          <w:b/>
          <w:bCs/>
          <w:color w:val="000000" w:themeColor="text1"/>
          <w:kern w:val="0"/>
          <w:sz w:val="24"/>
          <w:szCs w:val="24"/>
          <w:highlight w:val="none"/>
        </w:rPr>
      </w:pPr>
    </w:p>
    <w:p>
      <w:pPr>
        <w:keepNext/>
        <w:keepLines/>
        <w:tabs>
          <w:tab w:val="left" w:pos="1418"/>
        </w:tabs>
        <w:spacing w:before="260" w:after="260" w:line="400" w:lineRule="exact"/>
        <w:ind w:firstLine="284"/>
        <w:outlineLvl w:val="2"/>
        <w:rPr>
          <w:rFonts w:ascii="Times New Roman" w:hAnsi="Times New Roman" w:eastAsia="宋体" w:cs="Times New Roman"/>
          <w:b/>
          <w:bCs/>
          <w:color w:val="000000" w:themeColor="text1"/>
          <w:kern w:val="0"/>
          <w:sz w:val="24"/>
          <w:szCs w:val="24"/>
          <w:highlight w:val="none"/>
        </w:rPr>
      </w:pPr>
      <w:r>
        <w:rPr>
          <w:rFonts w:hint="eastAsia" w:ascii="Times New Roman" w:hAnsi="Times New Roman" w:eastAsia="宋体" w:cs="Times New Roman"/>
          <w:b/>
          <w:bCs/>
          <w:color w:val="000000" w:themeColor="text1"/>
          <w:kern w:val="0"/>
          <w:sz w:val="24"/>
          <w:szCs w:val="24"/>
          <w:highlight w:val="none"/>
        </w:rPr>
        <w:t>3：</w:t>
      </w:r>
      <w:r>
        <w:rPr>
          <w:rFonts w:ascii="Times New Roman" w:hAnsi="Times New Roman" w:eastAsia="宋体" w:cs="Times New Roman"/>
          <w:b/>
          <w:bCs/>
          <w:color w:val="000000" w:themeColor="text1"/>
          <w:kern w:val="0"/>
          <w:sz w:val="24"/>
          <w:szCs w:val="24"/>
          <w:highlight w:val="none"/>
        </w:rPr>
        <w:t>其他资料</w:t>
      </w:r>
      <w:bookmarkEnd w:id="163"/>
      <w:bookmarkEnd w:id="164"/>
      <w:bookmarkEnd w:id="165"/>
    </w:p>
    <w:p>
      <w:pPr>
        <w:keepNext/>
        <w:keepLines/>
        <w:tabs>
          <w:tab w:val="left" w:pos="1418"/>
        </w:tabs>
        <w:spacing w:before="260" w:after="260" w:line="400" w:lineRule="exact"/>
        <w:outlineLvl w:val="2"/>
        <w:rPr>
          <w:rFonts w:ascii="Times New Roman" w:hAnsi="Times New Roman" w:eastAsia="宋体" w:cs="Times New Roman"/>
          <w:color w:val="000000" w:themeColor="text1"/>
          <w:kern w:val="0"/>
          <w:sz w:val="24"/>
          <w:szCs w:val="24"/>
          <w:highlight w:val="none"/>
        </w:rPr>
      </w:pPr>
      <w:r>
        <w:rPr>
          <w:rFonts w:hint="eastAsia" w:ascii="Times New Roman" w:hAnsi="Times New Roman" w:eastAsia="宋体" w:cs="Times New Roman"/>
          <w:color w:val="000000" w:themeColor="text1"/>
          <w:kern w:val="0"/>
          <w:sz w:val="24"/>
          <w:szCs w:val="24"/>
          <w:highlight w:val="none"/>
        </w:rPr>
        <w:t>（该部分资料由投标人根据资格审查要求、商务评审、技术评审等内容，自行编制，格式自拟，并附相应证明资料）</w:t>
      </w:r>
    </w:p>
    <w:p>
      <w:pPr>
        <w:spacing w:line="300" w:lineRule="exact"/>
        <w:rPr>
          <w:rFonts w:ascii="Times New Roman" w:hAnsi="Times New Roman" w:eastAsia="宋体" w:cs="Times New Roman"/>
          <w:b/>
          <w:bCs/>
          <w:color w:val="000000" w:themeColor="text1"/>
          <w:kern w:val="0"/>
          <w:sz w:val="24"/>
          <w:szCs w:val="24"/>
          <w:highlight w:val="none"/>
        </w:rPr>
      </w:pPr>
      <w:r>
        <w:rPr>
          <w:rFonts w:ascii="Times New Roman" w:hAnsi="Times New Roman" w:eastAsia="宋体" w:cs="Times New Roman"/>
          <w:color w:val="000000" w:themeColor="text1"/>
          <w:sz w:val="24"/>
          <w:szCs w:val="24"/>
          <w:highlight w:val="none"/>
        </w:rPr>
        <w:br w:type="page"/>
      </w:r>
      <w:bookmarkStart w:id="166" w:name="_Toc2699"/>
      <w:r>
        <w:rPr>
          <w:rFonts w:ascii="Times New Roman" w:hAnsi="Times New Roman" w:eastAsia="宋体" w:cs="Times New Roman"/>
          <w:b/>
          <w:bCs/>
          <w:color w:val="000000" w:themeColor="text1"/>
          <w:kern w:val="0"/>
          <w:sz w:val="24"/>
          <w:szCs w:val="24"/>
          <w:highlight w:val="none"/>
        </w:rPr>
        <w:t>附件1</w:t>
      </w:r>
      <w:bookmarkEnd w:id="166"/>
    </w:p>
    <w:p>
      <w:pPr>
        <w:keepNext/>
        <w:keepLines/>
        <w:tabs>
          <w:tab w:val="left" w:pos="1418"/>
        </w:tabs>
        <w:spacing w:line="300" w:lineRule="exact"/>
        <w:jc w:val="center"/>
        <w:rPr>
          <w:rFonts w:ascii="Times New Roman" w:hAnsi="Times New Roman" w:eastAsia="仿宋" w:cs="Times New Roman"/>
          <w:b/>
          <w:bCs/>
          <w:color w:val="000000" w:themeColor="text1"/>
          <w:kern w:val="0"/>
          <w:sz w:val="30"/>
          <w:szCs w:val="30"/>
          <w:highlight w:val="none"/>
        </w:rPr>
      </w:pPr>
      <w:r>
        <w:rPr>
          <w:rFonts w:ascii="Times New Roman" w:hAnsi="Times New Roman" w:eastAsia="仿宋" w:cs="Times New Roman"/>
          <w:b/>
          <w:bCs/>
          <w:color w:val="000000" w:themeColor="text1"/>
          <w:kern w:val="0"/>
          <w:sz w:val="30"/>
          <w:szCs w:val="30"/>
          <w:highlight w:val="none"/>
        </w:rPr>
        <w:t>评审表页码对照表</w:t>
      </w:r>
    </w:p>
    <w:p>
      <w:pPr>
        <w:spacing w:line="400" w:lineRule="exact"/>
        <w:rPr>
          <w:rFonts w:ascii="Times New Roman" w:hAnsi="Times New Roman" w:eastAsia="仿宋" w:cs="Times New Roman"/>
          <w:b/>
          <w:bCs/>
          <w:color w:val="000000" w:themeColor="text1"/>
          <w:kern w:val="0"/>
          <w:sz w:val="30"/>
          <w:szCs w:val="30"/>
          <w:highlight w:val="none"/>
        </w:rPr>
      </w:pPr>
    </w:p>
    <w:p>
      <w:pPr>
        <w:spacing w:line="400" w:lineRule="exact"/>
        <w:ind w:firstLine="602" w:firstLineChars="200"/>
        <w:rPr>
          <w:rFonts w:ascii="Times New Roman" w:hAnsi="Times New Roman" w:eastAsia="仿宋" w:cs="Times New Roman"/>
          <w:b/>
          <w:color w:val="000000" w:themeColor="text1"/>
          <w:kern w:val="0"/>
          <w:szCs w:val="21"/>
          <w:highlight w:val="none"/>
        </w:rPr>
      </w:pPr>
      <w:r>
        <w:rPr>
          <w:rFonts w:ascii="Times New Roman" w:hAnsi="Times New Roman" w:eastAsia="仿宋" w:cs="Times New Roman"/>
          <w:b/>
          <w:bCs/>
          <w:color w:val="000000" w:themeColor="text1"/>
          <w:kern w:val="0"/>
          <w:sz w:val="30"/>
          <w:szCs w:val="30"/>
          <w:highlight w:val="none"/>
        </w:rPr>
        <w:t>各投标人按照第三章第一节《评标方法前附表》内的评审因素和评审标准所罗列的内容，以表格形式在此一一对应地将投标文件中所对应页码标注说明，以便评标委员会查找和评审。</w:t>
      </w:r>
    </w:p>
    <w:p>
      <w:pPr>
        <w:keepNext/>
        <w:keepLines/>
        <w:tabs>
          <w:tab w:val="left" w:pos="1418"/>
        </w:tabs>
        <w:spacing w:line="280" w:lineRule="exact"/>
        <w:jc w:val="left"/>
        <w:outlineLvl w:val="2"/>
        <w:rPr>
          <w:rFonts w:ascii="Times New Roman" w:hAnsi="Times New Roman" w:eastAsia="宋体" w:cs="Times New Roman"/>
          <w:b/>
          <w:bCs/>
          <w:color w:val="000000" w:themeColor="text1"/>
          <w:kern w:val="0"/>
          <w:sz w:val="24"/>
          <w:szCs w:val="24"/>
          <w:highlight w:val="none"/>
        </w:rPr>
      </w:pPr>
      <w:bookmarkStart w:id="167" w:name="_Toc28942"/>
      <w:r>
        <w:rPr>
          <w:rFonts w:hint="eastAsia" w:ascii="Times New Roman" w:hAnsi="Times New Roman" w:eastAsia="仿宋" w:cs="Times New Roman"/>
          <w:b/>
          <w:color w:val="000000" w:themeColor="text1"/>
          <w:kern w:val="0"/>
          <w:szCs w:val="21"/>
          <w:highlight w:val="none"/>
        </w:rPr>
        <w:br w:type="page"/>
      </w:r>
      <w:r>
        <w:rPr>
          <w:rFonts w:ascii="Times New Roman" w:hAnsi="Times New Roman" w:eastAsia="宋体" w:cs="Times New Roman"/>
          <w:b/>
          <w:bCs/>
          <w:color w:val="000000" w:themeColor="text1"/>
          <w:kern w:val="0"/>
          <w:sz w:val="24"/>
          <w:szCs w:val="24"/>
          <w:highlight w:val="none"/>
        </w:rPr>
        <w:t>附件2：</w:t>
      </w:r>
      <w:bookmarkEnd w:id="167"/>
    </w:p>
    <w:p>
      <w:pPr>
        <w:keepNext/>
        <w:keepLines/>
        <w:tabs>
          <w:tab w:val="left" w:pos="1418"/>
        </w:tabs>
        <w:spacing w:line="280" w:lineRule="exact"/>
        <w:jc w:val="center"/>
        <w:rPr>
          <w:rFonts w:ascii="Times New Roman" w:hAnsi="Times New Roman" w:eastAsia="仿宋" w:cs="Times New Roman"/>
          <w:b/>
          <w:bCs/>
          <w:color w:val="000000" w:themeColor="text1"/>
          <w:kern w:val="0"/>
          <w:sz w:val="30"/>
          <w:szCs w:val="30"/>
          <w:highlight w:val="none"/>
        </w:rPr>
      </w:pPr>
      <w:r>
        <w:rPr>
          <w:rFonts w:ascii="Times New Roman" w:hAnsi="Times New Roman" w:eastAsia="仿宋" w:cs="Times New Roman"/>
          <w:b/>
          <w:bCs/>
          <w:color w:val="000000" w:themeColor="text1"/>
          <w:kern w:val="0"/>
          <w:sz w:val="30"/>
          <w:szCs w:val="30"/>
          <w:highlight w:val="none"/>
        </w:rPr>
        <w:t>商务符合性应答表</w:t>
      </w:r>
    </w:p>
    <w:p>
      <w:pPr>
        <w:spacing w:line="280" w:lineRule="exact"/>
        <w:jc w:val="left"/>
        <w:rPr>
          <w:rFonts w:ascii="Times New Roman" w:hAnsi="Times New Roman" w:eastAsia="仿宋" w:cs="Times New Roman"/>
          <w:bCs/>
          <w:color w:val="000000" w:themeColor="text1"/>
          <w:szCs w:val="21"/>
          <w:highlight w:val="none"/>
        </w:rPr>
      </w:pPr>
      <w:r>
        <w:rPr>
          <w:rFonts w:hint="eastAsia" w:ascii="Times New Roman" w:hAnsi="Times New Roman" w:eastAsia="仿宋" w:cs="Times New Roman"/>
          <w:bCs/>
          <w:color w:val="000000" w:themeColor="text1"/>
          <w:szCs w:val="21"/>
          <w:highlight w:val="none"/>
        </w:rPr>
        <w:t>（该表以招标文件正文第五章《项目需求》中“商务符合性要求”描述为准，请各投标人按序号作出响应，若出现前后不一致的情况，以招标文件正文第五章《项目需求》中“商务符合性要求”描述为准）</w:t>
      </w:r>
    </w:p>
    <w:tbl>
      <w:tblPr>
        <w:tblStyle w:val="55"/>
        <w:tblpPr w:leftFromText="180" w:rightFromText="180" w:vertAnchor="text" w:horzAnchor="page" w:tblpX="889" w:tblpY="295"/>
        <w:tblW w:w="107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
        <w:gridCol w:w="8383"/>
        <w:gridCol w:w="66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blHeader/>
        </w:trPr>
        <w:tc>
          <w:tcPr>
            <w:tcW w:w="452" w:type="dxa"/>
            <w:shd w:val="clear" w:color="auto" w:fill="BFBFBF"/>
            <w:vAlign w:val="center"/>
          </w:tcPr>
          <w:p>
            <w:pPr>
              <w:tabs>
                <w:tab w:val="left" w:pos="1050"/>
                <w:tab w:val="left" w:pos="1470"/>
              </w:tabs>
              <w:spacing w:line="280" w:lineRule="exact"/>
              <w:jc w:val="center"/>
              <w:rPr>
                <w:rFonts w:ascii="Times New Roman" w:hAnsi="Times New Roman" w:eastAsia="宋体" w:cs="Times New Roman"/>
                <w:color w:val="000000" w:themeColor="text1"/>
                <w:sz w:val="18"/>
                <w:szCs w:val="21"/>
                <w:highlight w:val="none"/>
              </w:rPr>
            </w:pPr>
            <w:r>
              <w:rPr>
                <w:rFonts w:ascii="Times New Roman" w:hAnsi="Times New Roman" w:eastAsia="宋体" w:cs="Times New Roman"/>
                <w:color w:val="000000" w:themeColor="text1"/>
                <w:sz w:val="18"/>
                <w:szCs w:val="21"/>
                <w:highlight w:val="none"/>
              </w:rPr>
              <w:t>条款号</w:t>
            </w:r>
          </w:p>
        </w:tc>
        <w:tc>
          <w:tcPr>
            <w:tcW w:w="8383" w:type="dxa"/>
            <w:shd w:val="clear" w:color="auto" w:fill="BFBFBF"/>
            <w:vAlign w:val="center"/>
          </w:tcPr>
          <w:p>
            <w:pPr>
              <w:tabs>
                <w:tab w:val="left" w:pos="1050"/>
                <w:tab w:val="left" w:pos="1470"/>
              </w:tabs>
              <w:spacing w:line="280" w:lineRule="exact"/>
              <w:jc w:val="center"/>
              <w:rPr>
                <w:rFonts w:ascii="Times New Roman" w:hAnsi="Times New Roman" w:eastAsia="宋体" w:cs="Times New Roman"/>
                <w:color w:val="000000" w:themeColor="text1"/>
                <w:sz w:val="18"/>
                <w:szCs w:val="21"/>
                <w:highlight w:val="none"/>
              </w:rPr>
            </w:pPr>
            <w:r>
              <w:rPr>
                <w:rFonts w:ascii="Times New Roman" w:hAnsi="Times New Roman" w:eastAsia="宋体" w:cs="Times New Roman"/>
                <w:color w:val="000000" w:themeColor="text1"/>
                <w:sz w:val="18"/>
                <w:szCs w:val="21"/>
                <w:highlight w:val="none"/>
              </w:rPr>
              <w:t>招标要求</w:t>
            </w:r>
          </w:p>
        </w:tc>
        <w:tc>
          <w:tcPr>
            <w:tcW w:w="663" w:type="dxa"/>
            <w:shd w:val="clear" w:color="auto" w:fill="BFBFBF"/>
            <w:vAlign w:val="center"/>
          </w:tcPr>
          <w:p>
            <w:pPr>
              <w:tabs>
                <w:tab w:val="left" w:pos="1050"/>
                <w:tab w:val="left" w:pos="1470"/>
              </w:tabs>
              <w:spacing w:line="280" w:lineRule="exact"/>
              <w:jc w:val="center"/>
              <w:rPr>
                <w:rFonts w:ascii="Times New Roman" w:hAnsi="Times New Roman" w:eastAsia="宋体" w:cs="Times New Roman"/>
                <w:color w:val="000000" w:themeColor="text1"/>
                <w:sz w:val="18"/>
                <w:szCs w:val="21"/>
                <w:highlight w:val="none"/>
              </w:rPr>
            </w:pPr>
            <w:r>
              <w:rPr>
                <w:rFonts w:hint="eastAsia" w:ascii="Times New Roman" w:hAnsi="Times New Roman" w:eastAsia="宋体" w:cs="Times New Roman"/>
                <w:color w:val="000000" w:themeColor="text1"/>
                <w:sz w:val="18"/>
                <w:szCs w:val="21"/>
                <w:highlight w:val="none"/>
              </w:rPr>
              <w:t>有否偏离</w:t>
            </w:r>
          </w:p>
        </w:tc>
        <w:tc>
          <w:tcPr>
            <w:tcW w:w="1276" w:type="dxa"/>
            <w:shd w:val="clear" w:color="auto" w:fill="BFBFBF"/>
          </w:tcPr>
          <w:p>
            <w:pPr>
              <w:tabs>
                <w:tab w:val="left" w:pos="1050"/>
                <w:tab w:val="left" w:pos="1470"/>
              </w:tabs>
              <w:spacing w:line="280" w:lineRule="exact"/>
              <w:jc w:val="center"/>
              <w:rPr>
                <w:rFonts w:ascii="Times New Roman" w:hAnsi="Times New Roman" w:eastAsia="宋体" w:cs="Times New Roman"/>
                <w:color w:val="000000" w:themeColor="text1"/>
                <w:sz w:val="18"/>
                <w:szCs w:val="21"/>
                <w:highlight w:val="none"/>
              </w:rPr>
            </w:pPr>
            <w:r>
              <w:rPr>
                <w:rFonts w:hint="eastAsia" w:ascii="Times New Roman" w:hAnsi="Times New Roman" w:eastAsia="宋体" w:cs="Times New Roman"/>
                <w:color w:val="000000" w:themeColor="text1"/>
                <w:sz w:val="18"/>
                <w:szCs w:val="21"/>
                <w:highlight w:val="none"/>
              </w:rPr>
              <w:t>如有偏离，</w:t>
            </w:r>
          </w:p>
          <w:p>
            <w:pPr>
              <w:tabs>
                <w:tab w:val="left" w:pos="1050"/>
                <w:tab w:val="left" w:pos="1470"/>
              </w:tabs>
              <w:spacing w:line="280" w:lineRule="exact"/>
              <w:jc w:val="center"/>
              <w:rPr>
                <w:rFonts w:ascii="Times New Roman" w:hAnsi="Times New Roman" w:eastAsia="宋体" w:cs="Times New Roman"/>
                <w:color w:val="000000" w:themeColor="text1"/>
                <w:sz w:val="18"/>
                <w:szCs w:val="21"/>
                <w:highlight w:val="none"/>
              </w:rPr>
            </w:pPr>
            <w:r>
              <w:rPr>
                <w:rFonts w:hint="eastAsia" w:ascii="Times New Roman" w:hAnsi="Times New Roman" w:eastAsia="宋体" w:cs="Times New Roman"/>
                <w:color w:val="000000" w:themeColor="text1"/>
                <w:sz w:val="18"/>
                <w:szCs w:val="21"/>
                <w:highlight w:val="none"/>
              </w:rPr>
              <w:t>请自此备注偏离内容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blHeader/>
        </w:trPr>
        <w:tc>
          <w:tcPr>
            <w:tcW w:w="452" w:type="dxa"/>
            <w:vAlign w:val="center"/>
          </w:tcPr>
          <w:p>
            <w:pPr>
              <w:tabs>
                <w:tab w:val="left" w:pos="1050"/>
                <w:tab w:val="left" w:pos="1470"/>
              </w:tabs>
              <w:spacing w:line="280" w:lineRule="exact"/>
              <w:jc w:val="center"/>
              <w:rPr>
                <w:rFonts w:ascii="Times New Roman" w:hAnsi="Times New Roman" w:eastAsia="宋体" w:cs="Times New Roman"/>
                <w:bCs/>
                <w:color w:val="000000" w:themeColor="text1"/>
                <w:szCs w:val="21"/>
                <w:highlight w:val="none"/>
              </w:rPr>
            </w:pPr>
            <w:r>
              <w:rPr>
                <w:rFonts w:ascii="Times New Roman" w:hAnsi="Times New Roman" w:eastAsia="宋体" w:cs="Times New Roman"/>
                <w:bCs/>
                <w:color w:val="000000" w:themeColor="text1"/>
                <w:szCs w:val="21"/>
                <w:highlight w:val="none"/>
              </w:rPr>
              <w:t>1</w:t>
            </w:r>
          </w:p>
        </w:tc>
        <w:tc>
          <w:tcPr>
            <w:tcW w:w="8383" w:type="dxa"/>
          </w:tcPr>
          <w:p>
            <w:pPr>
              <w:tabs>
                <w:tab w:val="left" w:pos="1050"/>
                <w:tab w:val="left" w:pos="1470"/>
              </w:tabs>
              <w:spacing w:line="280" w:lineRule="exact"/>
              <w:rPr>
                <w:rFonts w:ascii="Times New Roman" w:hAnsi="Times New Roman" w:eastAsia="仿宋" w:cs="Times New Roman"/>
                <w:bCs/>
                <w:color w:val="000000" w:themeColor="text1"/>
                <w:szCs w:val="21"/>
                <w:highlight w:val="none"/>
              </w:rPr>
            </w:pPr>
            <w:r>
              <w:rPr>
                <w:rFonts w:hint="eastAsia" w:ascii="Times New Roman" w:hAnsi="Times New Roman" w:eastAsia="宋体" w:cs="Times New Roman"/>
                <w:color w:val="000000" w:themeColor="text1"/>
                <w:szCs w:val="21"/>
                <w:highlight w:val="none"/>
              </w:rPr>
              <w:t>货物规格型号及数量：</w:t>
            </w:r>
            <w:r>
              <w:rPr>
                <w:rFonts w:ascii="Times New Roman" w:hAnsi="Times New Roman" w:eastAsia="宋体" w:cs="Times New Roman"/>
                <w:color w:val="000000" w:themeColor="text1"/>
                <w:szCs w:val="21"/>
                <w:highlight w:val="none"/>
              </w:rPr>
              <w:t>详见</w:t>
            </w:r>
            <w:r>
              <w:rPr>
                <w:rFonts w:hint="eastAsia" w:ascii="Times New Roman" w:hAnsi="Times New Roman" w:eastAsia="宋体" w:cs="Times New Roman"/>
                <w:color w:val="000000" w:themeColor="text1"/>
                <w:szCs w:val="21"/>
                <w:highlight w:val="none"/>
              </w:rPr>
              <w:t>招标文件第二章《投标人须知前附表》</w:t>
            </w:r>
            <w:r>
              <w:rPr>
                <w:rFonts w:ascii="Times New Roman" w:hAnsi="Times New Roman" w:eastAsia="宋体" w:cs="Times New Roman"/>
                <w:color w:val="000000" w:themeColor="text1"/>
                <w:szCs w:val="21"/>
                <w:highlight w:val="none"/>
              </w:rPr>
              <w:t>。</w:t>
            </w:r>
          </w:p>
        </w:tc>
        <w:tc>
          <w:tcPr>
            <w:tcW w:w="663" w:type="dxa"/>
          </w:tcPr>
          <w:p>
            <w:pPr>
              <w:tabs>
                <w:tab w:val="left" w:pos="1050"/>
                <w:tab w:val="left" w:pos="1470"/>
              </w:tabs>
              <w:spacing w:line="280" w:lineRule="exact"/>
              <w:rPr>
                <w:rFonts w:ascii="Times New Roman" w:hAnsi="Times New Roman" w:eastAsia="宋体" w:cs="Times New Roman"/>
                <w:color w:val="000000" w:themeColor="text1"/>
                <w:szCs w:val="21"/>
                <w:highlight w:val="none"/>
              </w:rPr>
            </w:pPr>
          </w:p>
        </w:tc>
        <w:tc>
          <w:tcPr>
            <w:tcW w:w="1276" w:type="dxa"/>
          </w:tcPr>
          <w:p>
            <w:pPr>
              <w:tabs>
                <w:tab w:val="left" w:pos="1050"/>
                <w:tab w:val="left" w:pos="1470"/>
              </w:tabs>
              <w:spacing w:line="280" w:lineRule="exact"/>
              <w:rPr>
                <w:rFonts w:ascii="Times New Roman" w:hAnsi="Times New Roman" w:eastAsia="宋体" w:cs="Times New Roman"/>
                <w:color w:val="000000" w:themeColor="text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blHeader/>
        </w:trPr>
        <w:tc>
          <w:tcPr>
            <w:tcW w:w="452" w:type="dxa"/>
            <w:vAlign w:val="center"/>
          </w:tcPr>
          <w:p>
            <w:pPr>
              <w:tabs>
                <w:tab w:val="left" w:pos="1050"/>
                <w:tab w:val="left" w:pos="1470"/>
              </w:tabs>
              <w:spacing w:line="280" w:lineRule="exact"/>
              <w:jc w:val="center"/>
              <w:rPr>
                <w:rFonts w:ascii="Times New Roman" w:hAnsi="Times New Roman" w:eastAsia="宋体" w:cs="Times New Roman"/>
                <w:bCs/>
                <w:color w:val="000000" w:themeColor="text1"/>
                <w:szCs w:val="21"/>
                <w:highlight w:val="none"/>
              </w:rPr>
            </w:pPr>
            <w:r>
              <w:rPr>
                <w:rFonts w:ascii="Times New Roman" w:hAnsi="Times New Roman" w:eastAsia="宋体" w:cs="Times New Roman"/>
                <w:bCs/>
                <w:color w:val="000000" w:themeColor="text1"/>
                <w:szCs w:val="21"/>
                <w:highlight w:val="none"/>
              </w:rPr>
              <w:t>2</w:t>
            </w:r>
          </w:p>
        </w:tc>
        <w:tc>
          <w:tcPr>
            <w:tcW w:w="8383" w:type="dxa"/>
          </w:tcPr>
          <w:p>
            <w:pPr>
              <w:tabs>
                <w:tab w:val="left" w:pos="1050"/>
                <w:tab w:val="left" w:pos="1470"/>
              </w:tabs>
              <w:spacing w:line="280" w:lineRule="exact"/>
              <w:rPr>
                <w:rFonts w:ascii="Times New Roman" w:hAnsi="Times New Roman" w:eastAsia="仿宋" w:cs="Times New Roman"/>
                <w:bCs/>
                <w:color w:val="000000" w:themeColor="text1"/>
                <w:szCs w:val="21"/>
                <w:highlight w:val="none"/>
              </w:rPr>
            </w:pPr>
            <w:r>
              <w:rPr>
                <w:rFonts w:hint="eastAsia" w:ascii="Times New Roman" w:hAnsi="Times New Roman" w:eastAsia="宋体" w:cs="Times New Roman"/>
                <w:color w:val="000000" w:themeColor="text1"/>
                <w:szCs w:val="21"/>
                <w:highlight w:val="none"/>
              </w:rPr>
              <w:t>交货/安装地点：详见招标文件第二章《投标人须知前附表》。</w:t>
            </w:r>
          </w:p>
        </w:tc>
        <w:tc>
          <w:tcPr>
            <w:tcW w:w="663" w:type="dxa"/>
          </w:tcPr>
          <w:p>
            <w:pPr>
              <w:tabs>
                <w:tab w:val="left" w:pos="1050"/>
                <w:tab w:val="left" w:pos="1470"/>
              </w:tabs>
              <w:spacing w:line="280" w:lineRule="exact"/>
              <w:rPr>
                <w:rFonts w:ascii="Times New Roman" w:hAnsi="Times New Roman" w:eastAsia="宋体" w:cs="Times New Roman"/>
                <w:color w:val="000000" w:themeColor="text1"/>
                <w:szCs w:val="21"/>
                <w:highlight w:val="none"/>
              </w:rPr>
            </w:pPr>
          </w:p>
        </w:tc>
        <w:tc>
          <w:tcPr>
            <w:tcW w:w="1276" w:type="dxa"/>
          </w:tcPr>
          <w:p>
            <w:pPr>
              <w:tabs>
                <w:tab w:val="left" w:pos="1050"/>
                <w:tab w:val="left" w:pos="1470"/>
              </w:tabs>
              <w:spacing w:line="280" w:lineRule="exact"/>
              <w:rPr>
                <w:rFonts w:ascii="Times New Roman" w:hAnsi="Times New Roman" w:eastAsia="宋体" w:cs="Times New Roman"/>
                <w:color w:val="000000" w:themeColor="text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blHeader/>
        </w:trPr>
        <w:tc>
          <w:tcPr>
            <w:tcW w:w="452" w:type="dxa"/>
            <w:vAlign w:val="center"/>
          </w:tcPr>
          <w:p>
            <w:pPr>
              <w:tabs>
                <w:tab w:val="left" w:pos="1050"/>
                <w:tab w:val="left" w:pos="1470"/>
              </w:tabs>
              <w:spacing w:line="280" w:lineRule="exact"/>
              <w:jc w:val="cente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3</w:t>
            </w:r>
          </w:p>
        </w:tc>
        <w:tc>
          <w:tcPr>
            <w:tcW w:w="8383" w:type="dxa"/>
          </w:tcPr>
          <w:p>
            <w:pPr>
              <w:tabs>
                <w:tab w:val="left" w:pos="1050"/>
                <w:tab w:val="left" w:pos="1470"/>
              </w:tabs>
              <w:spacing w:line="280" w:lineRule="exact"/>
              <w:rPr>
                <w:rFonts w:ascii="Times New Roman" w:hAnsi="Times New Roman" w:eastAsia="仿宋" w:cs="Times New Roman"/>
                <w:bCs/>
                <w:color w:val="000000" w:themeColor="text1"/>
                <w:szCs w:val="21"/>
                <w:highlight w:val="none"/>
              </w:rPr>
            </w:pPr>
            <w:r>
              <w:rPr>
                <w:rFonts w:hint="eastAsia" w:ascii="Times New Roman" w:hAnsi="Times New Roman" w:eastAsia="宋体" w:cs="Times New Roman"/>
                <w:color w:val="000000" w:themeColor="text1"/>
                <w:szCs w:val="21"/>
                <w:highlight w:val="none"/>
              </w:rPr>
              <w:t>供货时间：详见招标文件第二章《投标人须知前附表》。</w:t>
            </w:r>
          </w:p>
        </w:tc>
        <w:tc>
          <w:tcPr>
            <w:tcW w:w="663" w:type="dxa"/>
          </w:tcPr>
          <w:p>
            <w:pPr>
              <w:tabs>
                <w:tab w:val="left" w:pos="1050"/>
                <w:tab w:val="left" w:pos="1470"/>
              </w:tabs>
              <w:spacing w:line="280" w:lineRule="exact"/>
              <w:rPr>
                <w:rFonts w:ascii="Times New Roman" w:hAnsi="Times New Roman" w:eastAsia="宋体" w:cs="Times New Roman"/>
                <w:color w:val="000000" w:themeColor="text1"/>
                <w:szCs w:val="21"/>
                <w:highlight w:val="none"/>
              </w:rPr>
            </w:pPr>
          </w:p>
        </w:tc>
        <w:tc>
          <w:tcPr>
            <w:tcW w:w="1276" w:type="dxa"/>
          </w:tcPr>
          <w:p>
            <w:pPr>
              <w:tabs>
                <w:tab w:val="left" w:pos="1050"/>
                <w:tab w:val="left" w:pos="1470"/>
              </w:tabs>
              <w:spacing w:line="280" w:lineRule="exact"/>
              <w:rPr>
                <w:rFonts w:ascii="Times New Roman" w:hAnsi="Times New Roman" w:eastAsia="宋体" w:cs="Times New Roman"/>
                <w:color w:val="000000" w:themeColor="text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blHeader/>
        </w:trPr>
        <w:tc>
          <w:tcPr>
            <w:tcW w:w="452" w:type="dxa"/>
            <w:vAlign w:val="center"/>
          </w:tcPr>
          <w:p>
            <w:pPr>
              <w:tabs>
                <w:tab w:val="left" w:pos="1050"/>
                <w:tab w:val="left" w:pos="1470"/>
              </w:tabs>
              <w:spacing w:line="280" w:lineRule="exact"/>
              <w:jc w:val="cente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4</w:t>
            </w:r>
          </w:p>
        </w:tc>
        <w:tc>
          <w:tcPr>
            <w:tcW w:w="8383" w:type="dxa"/>
          </w:tcPr>
          <w:p>
            <w:pPr>
              <w:tabs>
                <w:tab w:val="left" w:pos="1050"/>
                <w:tab w:val="left" w:pos="1470"/>
              </w:tabs>
              <w:spacing w:line="280" w:lineRule="exact"/>
              <w:rPr>
                <w:rFonts w:ascii="Times New Roman" w:hAnsi="Times New Roman" w:eastAsia="仿宋" w:cs="Times New Roman"/>
                <w:bCs/>
                <w:color w:val="000000" w:themeColor="text1"/>
                <w:szCs w:val="21"/>
                <w:highlight w:val="none"/>
              </w:rPr>
            </w:pPr>
            <w:r>
              <w:rPr>
                <w:rFonts w:hint="eastAsia" w:ascii="Times New Roman" w:hAnsi="Times New Roman" w:eastAsia="宋体" w:cs="Times New Roman"/>
                <w:color w:val="000000" w:themeColor="text1"/>
                <w:szCs w:val="21"/>
                <w:highlight w:val="none"/>
              </w:rPr>
              <w:t>售后服务要求：详见招标文件第一章《招标公告》。</w:t>
            </w:r>
          </w:p>
        </w:tc>
        <w:tc>
          <w:tcPr>
            <w:tcW w:w="663" w:type="dxa"/>
          </w:tcPr>
          <w:p>
            <w:pPr>
              <w:tabs>
                <w:tab w:val="left" w:pos="1050"/>
                <w:tab w:val="left" w:pos="1470"/>
              </w:tabs>
              <w:spacing w:line="280" w:lineRule="exact"/>
              <w:rPr>
                <w:rFonts w:ascii="Times New Roman" w:hAnsi="Times New Roman" w:eastAsia="宋体" w:cs="Times New Roman"/>
                <w:color w:val="000000" w:themeColor="text1"/>
                <w:szCs w:val="21"/>
                <w:highlight w:val="none"/>
              </w:rPr>
            </w:pPr>
          </w:p>
        </w:tc>
        <w:tc>
          <w:tcPr>
            <w:tcW w:w="1276" w:type="dxa"/>
          </w:tcPr>
          <w:p>
            <w:pPr>
              <w:tabs>
                <w:tab w:val="left" w:pos="1050"/>
                <w:tab w:val="left" w:pos="1470"/>
              </w:tabs>
              <w:spacing w:line="280" w:lineRule="exact"/>
              <w:rPr>
                <w:rFonts w:ascii="Times New Roman" w:hAnsi="Times New Roman" w:eastAsia="宋体" w:cs="Times New Roman"/>
                <w:color w:val="000000" w:themeColor="text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blHeader/>
        </w:trPr>
        <w:tc>
          <w:tcPr>
            <w:tcW w:w="452" w:type="dxa"/>
            <w:vAlign w:val="center"/>
          </w:tcPr>
          <w:p>
            <w:pPr>
              <w:tabs>
                <w:tab w:val="left" w:pos="1050"/>
                <w:tab w:val="left" w:pos="1470"/>
              </w:tabs>
              <w:spacing w:line="280" w:lineRule="exact"/>
              <w:jc w:val="cente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5</w:t>
            </w:r>
          </w:p>
        </w:tc>
        <w:tc>
          <w:tcPr>
            <w:tcW w:w="8383" w:type="dxa"/>
            <w:vAlign w:val="center"/>
          </w:tcPr>
          <w:p>
            <w:pPr>
              <w:tabs>
                <w:tab w:val="left" w:pos="1050"/>
                <w:tab w:val="left" w:pos="1470"/>
              </w:tabs>
              <w:spacing w:line="280" w:lineRule="exact"/>
              <w:rPr>
                <w:rFonts w:ascii="Times New Roman" w:hAnsi="Times New Roman" w:eastAsia="仿宋" w:cs="Times New Roman"/>
                <w:bCs/>
                <w:color w:val="000000" w:themeColor="text1"/>
                <w:szCs w:val="21"/>
                <w:highlight w:val="none"/>
              </w:rPr>
            </w:pPr>
            <w:r>
              <w:rPr>
                <w:rFonts w:hint="eastAsia" w:ascii="Times New Roman" w:hAnsi="Times New Roman" w:eastAsia="宋体" w:cs="Times New Roman"/>
                <w:color w:val="000000" w:themeColor="text1"/>
                <w:szCs w:val="21"/>
                <w:highlight w:val="none"/>
              </w:rPr>
              <w:t>质量及验收要求</w:t>
            </w:r>
            <w:r>
              <w:rPr>
                <w:rFonts w:ascii="Times New Roman" w:hAnsi="Times New Roman" w:eastAsia="宋体" w:cs="Times New Roman"/>
                <w:color w:val="000000" w:themeColor="text1"/>
                <w:szCs w:val="21"/>
                <w:highlight w:val="none"/>
              </w:rPr>
              <w:t>：</w:t>
            </w:r>
            <w:r>
              <w:rPr>
                <w:rFonts w:hint="eastAsia" w:ascii="Times New Roman" w:hAnsi="Times New Roman" w:eastAsia="宋体" w:cs="Times New Roman"/>
                <w:color w:val="000000" w:themeColor="text1"/>
                <w:szCs w:val="21"/>
                <w:highlight w:val="none"/>
              </w:rPr>
              <w:t>详见招标文件第一章《招标公告》。</w:t>
            </w:r>
          </w:p>
        </w:tc>
        <w:tc>
          <w:tcPr>
            <w:tcW w:w="663" w:type="dxa"/>
          </w:tcPr>
          <w:p>
            <w:pPr>
              <w:tabs>
                <w:tab w:val="left" w:pos="1050"/>
                <w:tab w:val="left" w:pos="1470"/>
              </w:tabs>
              <w:spacing w:line="280" w:lineRule="exact"/>
              <w:rPr>
                <w:rFonts w:ascii="Times New Roman" w:hAnsi="Times New Roman" w:eastAsia="宋体" w:cs="Times New Roman"/>
                <w:color w:val="000000" w:themeColor="text1"/>
                <w:szCs w:val="21"/>
                <w:highlight w:val="none"/>
              </w:rPr>
            </w:pPr>
          </w:p>
        </w:tc>
        <w:tc>
          <w:tcPr>
            <w:tcW w:w="1276" w:type="dxa"/>
          </w:tcPr>
          <w:p>
            <w:pPr>
              <w:tabs>
                <w:tab w:val="left" w:pos="1050"/>
                <w:tab w:val="left" w:pos="1470"/>
              </w:tabs>
              <w:spacing w:line="280" w:lineRule="exact"/>
              <w:rPr>
                <w:rFonts w:ascii="Times New Roman" w:hAnsi="Times New Roman" w:eastAsia="宋体" w:cs="Times New Roman"/>
                <w:color w:val="000000" w:themeColor="text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blHeader/>
        </w:trPr>
        <w:tc>
          <w:tcPr>
            <w:tcW w:w="452" w:type="dxa"/>
            <w:vAlign w:val="center"/>
          </w:tcPr>
          <w:p>
            <w:pPr>
              <w:tabs>
                <w:tab w:val="left" w:pos="1050"/>
                <w:tab w:val="left" w:pos="1470"/>
              </w:tabs>
              <w:spacing w:line="280" w:lineRule="exact"/>
              <w:jc w:val="cente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6</w:t>
            </w:r>
          </w:p>
        </w:tc>
        <w:tc>
          <w:tcPr>
            <w:tcW w:w="8383" w:type="dxa"/>
          </w:tcPr>
          <w:p>
            <w:pPr>
              <w:spacing w:line="280" w:lineRule="exact"/>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付款方式：以提供的借记卡类型和中标单价据实结算，经双方核对制卡量、单价无误后，供应商开具增值税专用发票，按实际采购量每半年结算一次。</w:t>
            </w:r>
          </w:p>
          <w:p>
            <w:pPr>
              <w:tabs>
                <w:tab w:val="left" w:pos="1050"/>
                <w:tab w:val="left" w:pos="1470"/>
              </w:tabs>
              <w:spacing w:line="280" w:lineRule="exact"/>
              <w:rPr>
                <w:rFonts w:ascii="Times New Roman" w:hAnsi="Times New Roman" w:eastAsia="仿宋" w:cs="Times New Roman"/>
                <w:bCs/>
                <w:color w:val="000000" w:themeColor="text1"/>
                <w:szCs w:val="21"/>
                <w:highlight w:val="none"/>
              </w:rPr>
            </w:pPr>
            <w:r>
              <w:rPr>
                <w:rFonts w:ascii="Times New Roman" w:hAnsi="Times New Roman" w:eastAsia="宋体" w:cs="Times New Roman"/>
                <w:b/>
                <w:color w:val="000000" w:themeColor="text1"/>
                <w:szCs w:val="21"/>
                <w:highlight w:val="none"/>
              </w:rPr>
              <w:t>特别说明，</w:t>
            </w:r>
            <w:r>
              <w:rPr>
                <w:rFonts w:hint="eastAsia" w:ascii="Times New Roman" w:hAnsi="Times New Roman" w:eastAsia="宋体" w:cs="Times New Roman"/>
                <w:b/>
                <w:color w:val="000000" w:themeColor="text1"/>
                <w:szCs w:val="21"/>
                <w:highlight w:val="none"/>
              </w:rPr>
              <w:t>每次付款前供应商须提供相应金额的可全额抵扣的增值税专用发票。</w:t>
            </w:r>
          </w:p>
        </w:tc>
        <w:tc>
          <w:tcPr>
            <w:tcW w:w="663" w:type="dxa"/>
          </w:tcPr>
          <w:p>
            <w:pPr>
              <w:tabs>
                <w:tab w:val="left" w:pos="1050"/>
                <w:tab w:val="left" w:pos="1470"/>
              </w:tabs>
              <w:spacing w:line="280" w:lineRule="exact"/>
              <w:rPr>
                <w:rFonts w:ascii="Times New Roman" w:hAnsi="Times New Roman" w:eastAsia="宋体" w:cs="Times New Roman"/>
                <w:color w:val="000000" w:themeColor="text1"/>
                <w:szCs w:val="21"/>
                <w:highlight w:val="none"/>
              </w:rPr>
            </w:pPr>
          </w:p>
        </w:tc>
        <w:tc>
          <w:tcPr>
            <w:tcW w:w="1276" w:type="dxa"/>
          </w:tcPr>
          <w:p>
            <w:pPr>
              <w:tabs>
                <w:tab w:val="left" w:pos="1050"/>
                <w:tab w:val="left" w:pos="1470"/>
              </w:tabs>
              <w:spacing w:line="280" w:lineRule="exact"/>
              <w:rPr>
                <w:rFonts w:ascii="Times New Roman" w:hAnsi="Times New Roman" w:eastAsia="宋体" w:cs="Times New Roman"/>
                <w:color w:val="000000" w:themeColor="text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blHeader/>
        </w:trPr>
        <w:tc>
          <w:tcPr>
            <w:tcW w:w="452" w:type="dxa"/>
            <w:vAlign w:val="center"/>
          </w:tcPr>
          <w:p>
            <w:pPr>
              <w:tabs>
                <w:tab w:val="left" w:pos="1050"/>
                <w:tab w:val="left" w:pos="1470"/>
              </w:tabs>
              <w:spacing w:line="280" w:lineRule="exact"/>
              <w:jc w:val="cente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7</w:t>
            </w:r>
          </w:p>
        </w:tc>
        <w:tc>
          <w:tcPr>
            <w:tcW w:w="8383" w:type="dxa"/>
          </w:tcPr>
          <w:p>
            <w:pPr>
              <w:spacing w:line="280" w:lineRule="exact"/>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1、履约担保金额</w:t>
            </w:r>
            <w:r>
              <w:rPr>
                <w:rFonts w:hint="eastAsia" w:ascii="Times New Roman" w:hAnsi="Times New Roman" w:eastAsia="宋体" w:cs="Times New Roman"/>
                <w:color w:val="000000" w:themeColor="text1"/>
                <w:szCs w:val="21"/>
                <w:highlight w:val="none"/>
              </w:rPr>
              <w:t>：中标单位投标总报价</w:t>
            </w:r>
            <w:r>
              <w:rPr>
                <w:rFonts w:hint="eastAsia"/>
                <w:color w:val="000000" w:themeColor="text1"/>
                <w:highlight w:val="none"/>
              </w:rPr>
              <w:t>的3%</w:t>
            </w:r>
            <w:r>
              <w:rPr>
                <w:rFonts w:ascii="Times New Roman" w:hAnsi="Times New Roman" w:eastAsia="宋体" w:cs="Times New Roman"/>
                <w:color w:val="000000" w:themeColor="text1"/>
                <w:szCs w:val="21"/>
                <w:highlight w:val="none"/>
              </w:rPr>
              <w:t>；</w:t>
            </w:r>
          </w:p>
          <w:p>
            <w:pPr>
              <w:spacing w:line="280" w:lineRule="exact"/>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2、履约担保方式：银行转账支票、银行汇票；</w:t>
            </w:r>
          </w:p>
          <w:p>
            <w:pPr>
              <w:spacing w:line="280" w:lineRule="exact"/>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3、履约担保提交时间</w:t>
            </w:r>
            <w:r>
              <w:rPr>
                <w:rFonts w:hint="eastAsia" w:ascii="Times New Roman" w:hAnsi="Times New Roman" w:eastAsia="宋体" w:cs="Times New Roman"/>
                <w:color w:val="000000" w:themeColor="text1"/>
                <w:szCs w:val="21"/>
                <w:highlight w:val="none"/>
              </w:rPr>
              <w:t>和账户</w:t>
            </w:r>
            <w:r>
              <w:rPr>
                <w:rFonts w:ascii="Times New Roman" w:hAnsi="Times New Roman" w:eastAsia="宋体" w:cs="Times New Roman"/>
                <w:color w:val="000000" w:themeColor="text1"/>
                <w:szCs w:val="21"/>
                <w:highlight w:val="none"/>
              </w:rPr>
              <w:t>：中标人须收到中标通知书后</w:t>
            </w:r>
            <w:r>
              <w:rPr>
                <w:rFonts w:ascii="Times New Roman" w:hAnsi="Times New Roman" w:eastAsia="宋体" w:cs="Times New Roman"/>
                <w:color w:val="000000" w:themeColor="text1"/>
                <w:szCs w:val="21"/>
                <w:highlight w:val="none"/>
                <w:u w:val="single"/>
              </w:rPr>
              <w:t>10</w:t>
            </w:r>
            <w:r>
              <w:rPr>
                <w:rFonts w:ascii="Times New Roman" w:hAnsi="Times New Roman" w:eastAsia="宋体" w:cs="Times New Roman"/>
                <w:color w:val="000000" w:themeColor="text1"/>
                <w:szCs w:val="21"/>
                <w:highlight w:val="none"/>
              </w:rPr>
              <w:t>日内提交</w:t>
            </w:r>
          </w:p>
          <w:p>
            <w:pPr>
              <w:spacing w:line="280" w:lineRule="exact"/>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w:t>
            </w:r>
            <w:r>
              <w:rPr>
                <w:rFonts w:hint="eastAsia" w:ascii="Times New Roman" w:hAnsi="Times New Roman" w:eastAsia="宋体" w:cs="Times New Roman"/>
                <w:color w:val="000000" w:themeColor="text1"/>
                <w:szCs w:val="21"/>
                <w:highlight w:val="none"/>
              </w:rPr>
              <w:t>户名：重庆银行股份有限公司   账号：020101040017909   开户行：重庆银行总行营业部</w:t>
            </w:r>
            <w:r>
              <w:rPr>
                <w:rFonts w:ascii="Times New Roman" w:hAnsi="Times New Roman" w:eastAsia="宋体" w:cs="Times New Roman"/>
                <w:color w:val="000000" w:themeColor="text1"/>
                <w:szCs w:val="21"/>
                <w:highlight w:val="none"/>
              </w:rPr>
              <w:t>）；</w:t>
            </w:r>
          </w:p>
          <w:p>
            <w:pPr>
              <w:spacing w:line="280" w:lineRule="exact"/>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4、履约保证金退还时间：自采购协议执行期满壹年后，无售后质量问题全额无息退还</w:t>
            </w:r>
            <w:r>
              <w:rPr>
                <w:rFonts w:hint="eastAsia" w:ascii="Times New Roman" w:hAnsi="Times New Roman" w:eastAsia="宋体" w:cs="Times New Roman"/>
                <w:color w:val="000000" w:themeColor="text1"/>
                <w:szCs w:val="21"/>
                <w:highlight w:val="none"/>
              </w:rPr>
              <w:t>；</w:t>
            </w:r>
            <w:r>
              <w:rPr>
                <w:rFonts w:ascii="Times New Roman" w:hAnsi="Times New Roman" w:eastAsia="宋体" w:cs="Times New Roman"/>
                <w:color w:val="000000" w:themeColor="text1"/>
                <w:szCs w:val="21"/>
                <w:highlight w:val="none"/>
              </w:rPr>
              <w:t>如有违约情况，</w:t>
            </w:r>
            <w:r>
              <w:rPr>
                <w:color w:val="000000" w:themeColor="text1"/>
                <w:szCs w:val="21"/>
                <w:highlight w:val="none"/>
              </w:rPr>
              <w:t>仅退还扣除违约金后的余额</w:t>
            </w:r>
            <w:r>
              <w:rPr>
                <w:rFonts w:ascii="Times New Roman" w:hAnsi="Times New Roman" w:eastAsia="宋体" w:cs="Times New Roman"/>
                <w:color w:val="000000" w:themeColor="text1"/>
                <w:szCs w:val="21"/>
                <w:highlight w:val="none"/>
              </w:rPr>
              <w:t>。</w:t>
            </w:r>
          </w:p>
          <w:p>
            <w:pPr>
              <w:spacing w:line="280" w:lineRule="exact"/>
              <w:rPr>
                <w:rFonts w:ascii="Times New Roman" w:hAnsi="Times New Roman" w:eastAsia="宋体" w:cs="Times New Roman"/>
                <w:color w:val="000000" w:themeColor="text1"/>
                <w:szCs w:val="21"/>
                <w:highlight w:val="none"/>
              </w:rPr>
            </w:pPr>
          </w:p>
          <w:p>
            <w:pPr>
              <w:spacing w:line="280" w:lineRule="exact"/>
              <w:rPr>
                <w:rFonts w:ascii="Times New Roman" w:hAnsi="Times New Roman" w:eastAsia="宋体" w:cs="Times New Roman"/>
                <w:b/>
                <w:bCs/>
                <w:color w:val="000000" w:themeColor="text1"/>
                <w:sz w:val="22"/>
                <w:highlight w:val="none"/>
              </w:rPr>
            </w:pPr>
            <w:r>
              <w:rPr>
                <w:rFonts w:hint="eastAsia" w:ascii="Times New Roman" w:hAnsi="Times New Roman" w:eastAsia="宋体" w:cs="Times New Roman"/>
                <w:b/>
                <w:bCs/>
                <w:color w:val="000000" w:themeColor="text1"/>
                <w:sz w:val="22"/>
                <w:highlight w:val="none"/>
              </w:rPr>
              <w:t>注：</w:t>
            </w:r>
          </w:p>
          <w:p>
            <w:pPr>
              <w:spacing w:line="280" w:lineRule="exact"/>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扣收履约保证金的适用情形：</w:t>
            </w:r>
          </w:p>
          <w:p>
            <w:pPr>
              <w:spacing w:line="280" w:lineRule="exact"/>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1、未达到技术指标要求的问题卡片比率超过0.1％（包含0.1％），乙方承诺除对问题卡片进行免费更换外，按照问题卡片价值的500%对甲方进行赔偿，赔偿金额从履约保证金扣除。如果乙方提供卡片的质量问题，造成甲方用户投诉等相关严重影响甲方信誉，甲方可以立即终止采购协议另行采购，并扣除乙方全部履约保证金。</w:t>
            </w:r>
          </w:p>
          <w:p>
            <w:pPr>
              <w:spacing w:line="280" w:lineRule="exact"/>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2、乙方需承诺保障客户信息的安全，当客户信息不安全或客户权利受到影响时，甲方有权随时终止外包协议。如违反本协议规定的安全保密要求及保密协议，给甲方以及甲方客户的信息安全造成不良后果或客户权利受到影响，乙方将赔偿甲方及客户的所有损失，包括但不限于甲方经济和声誉损失、甲方客户提出的经济赔偿等。甲方将扣除乙方全部履约保证金，保持追究乙方民事责任的权利，并因此解除本协议。如甲方因此受到第三方法律指控，甲方将拥有追索权，由此造成的甲方所有损失，乙方须向甲方全额赔偿</w:t>
            </w:r>
          </w:p>
          <w:p>
            <w:pPr>
              <w:spacing w:line="280" w:lineRule="exact"/>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Cs w:val="21"/>
                <w:highlight w:val="none"/>
              </w:rPr>
              <w:t>3、乙方不能按照协议规定时间交货，应及时通知甲方。如未征得甲方同意，延期10-19日，乙方应按货款的10%向甲方支付违约金，如延期交货期超过20日及以上的，乙方应承担当次订单价格20%的违约金，发生3次以上甲方有权终止本采购协议。如果延期违约金不足以弥补给甲方造成的损失，还应进一步赔偿损失。违约金未超过履约保证金的先从履约保证金扣除。</w:t>
            </w:r>
          </w:p>
          <w:p>
            <w:pPr>
              <w:spacing w:line="280" w:lineRule="exact"/>
              <w:rPr>
                <w:rFonts w:ascii="Times New Roman" w:hAnsi="Times New Roman" w:eastAsia="仿宋" w:cs="Times New Roman"/>
                <w:bCs/>
                <w:color w:val="000000" w:themeColor="text1"/>
                <w:szCs w:val="21"/>
                <w:highlight w:val="none"/>
              </w:rPr>
            </w:pPr>
            <w:r>
              <w:rPr>
                <w:rFonts w:ascii="Times New Roman" w:hAnsi="Times New Roman" w:eastAsia="宋体" w:cs="Times New Roman"/>
                <w:color w:val="000000" w:themeColor="text1"/>
                <w:szCs w:val="21"/>
                <w:highlight w:val="none"/>
              </w:rPr>
              <w:t>4、乙方不能通过交货验收或最终验收，应在10个工作日内整改或免费更换为合格产品，期间发生的费用（如检测费、维修费、退货费、保险费、运输费等）均由乙方承担。如更换或整改后，仍不能通过验收，则甲方有权拒绝接收货物，乙方应承担当次订单价格20%的违约金，从履约保证金扣除，同时采购协议终止。乙方在接到索赔通知后十日内，未做出任何书面答复，乙方将被视为接受索赔要求。</w:t>
            </w:r>
          </w:p>
        </w:tc>
        <w:tc>
          <w:tcPr>
            <w:tcW w:w="663" w:type="dxa"/>
          </w:tcPr>
          <w:p>
            <w:pPr>
              <w:tabs>
                <w:tab w:val="left" w:pos="1050"/>
                <w:tab w:val="left" w:pos="1470"/>
              </w:tabs>
              <w:spacing w:line="280" w:lineRule="exact"/>
              <w:rPr>
                <w:rFonts w:ascii="Times New Roman" w:hAnsi="Times New Roman" w:eastAsia="宋体" w:cs="Times New Roman"/>
                <w:bCs/>
                <w:color w:val="000000" w:themeColor="text1"/>
                <w:szCs w:val="21"/>
                <w:highlight w:val="none"/>
              </w:rPr>
            </w:pPr>
          </w:p>
        </w:tc>
        <w:tc>
          <w:tcPr>
            <w:tcW w:w="1276" w:type="dxa"/>
          </w:tcPr>
          <w:p>
            <w:pPr>
              <w:tabs>
                <w:tab w:val="left" w:pos="1050"/>
                <w:tab w:val="left" w:pos="1470"/>
              </w:tabs>
              <w:spacing w:line="280" w:lineRule="exact"/>
              <w:rPr>
                <w:rFonts w:ascii="Times New Roman" w:hAnsi="Times New Roman" w:eastAsia="宋体" w:cs="Times New Roman"/>
                <w:bCs/>
                <w:color w:val="000000" w:themeColor="text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blHeader/>
        </w:trPr>
        <w:tc>
          <w:tcPr>
            <w:tcW w:w="452" w:type="dxa"/>
            <w:vAlign w:val="center"/>
          </w:tcPr>
          <w:p>
            <w:pPr>
              <w:tabs>
                <w:tab w:val="left" w:pos="1050"/>
                <w:tab w:val="left" w:pos="1470"/>
              </w:tabs>
              <w:spacing w:line="280" w:lineRule="exact"/>
              <w:jc w:val="cente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8</w:t>
            </w:r>
          </w:p>
        </w:tc>
        <w:tc>
          <w:tcPr>
            <w:tcW w:w="8383" w:type="dxa"/>
          </w:tcPr>
          <w:p>
            <w:pPr>
              <w:spacing w:line="280" w:lineRule="exact"/>
              <w:rPr>
                <w:rFonts w:ascii="Times New Roman" w:hAnsi="Times New Roman" w:eastAsia="宋体" w:cs="Times New Roman"/>
                <w:color w:val="000000" w:themeColor="text1"/>
                <w:szCs w:val="21"/>
                <w:highlight w:val="none"/>
                <w:lang w:val="ru-RU"/>
              </w:rPr>
            </w:pPr>
            <w:r>
              <w:rPr>
                <w:rFonts w:hint="eastAsia" w:ascii="Times New Roman" w:hAnsi="Times New Roman" w:eastAsia="宋体" w:cs="Times New Roman"/>
                <w:color w:val="000000" w:themeColor="text1"/>
                <w:szCs w:val="21"/>
                <w:highlight w:val="none"/>
              </w:rPr>
              <w:t>供应商</w:t>
            </w:r>
            <w:r>
              <w:rPr>
                <w:rFonts w:ascii="Times New Roman" w:hAnsi="Times New Roman" w:eastAsia="宋体" w:cs="Times New Roman"/>
                <w:color w:val="000000" w:themeColor="text1"/>
                <w:szCs w:val="21"/>
                <w:highlight w:val="none"/>
              </w:rPr>
              <w:t>在批量生产前，需按照采购方要求制作样卡，应在10日内完成并交采购方确认，以后批量生产的银行卡不得低于样卡质量与标准。</w:t>
            </w:r>
          </w:p>
        </w:tc>
        <w:tc>
          <w:tcPr>
            <w:tcW w:w="663" w:type="dxa"/>
          </w:tcPr>
          <w:p>
            <w:pPr>
              <w:tabs>
                <w:tab w:val="left" w:pos="1050"/>
                <w:tab w:val="left" w:pos="1470"/>
              </w:tabs>
              <w:spacing w:line="280" w:lineRule="exact"/>
              <w:rPr>
                <w:rFonts w:ascii="Times New Roman" w:hAnsi="Times New Roman" w:eastAsia="宋体" w:cs="Times New Roman"/>
                <w:bCs/>
                <w:color w:val="000000" w:themeColor="text1"/>
                <w:szCs w:val="21"/>
                <w:highlight w:val="none"/>
              </w:rPr>
            </w:pPr>
          </w:p>
        </w:tc>
        <w:tc>
          <w:tcPr>
            <w:tcW w:w="1276" w:type="dxa"/>
          </w:tcPr>
          <w:p>
            <w:pPr>
              <w:tabs>
                <w:tab w:val="left" w:pos="1050"/>
                <w:tab w:val="left" w:pos="1470"/>
              </w:tabs>
              <w:spacing w:line="280" w:lineRule="exact"/>
              <w:rPr>
                <w:rFonts w:ascii="Times New Roman" w:hAnsi="Times New Roman" w:eastAsia="宋体" w:cs="Times New Roman"/>
                <w:bCs/>
                <w:color w:val="000000" w:themeColor="text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blHeader/>
        </w:trPr>
        <w:tc>
          <w:tcPr>
            <w:tcW w:w="452" w:type="dxa"/>
            <w:vAlign w:val="center"/>
          </w:tcPr>
          <w:p>
            <w:pPr>
              <w:tabs>
                <w:tab w:val="left" w:pos="1050"/>
                <w:tab w:val="left" w:pos="1470"/>
              </w:tabs>
              <w:spacing w:line="280" w:lineRule="exact"/>
              <w:jc w:val="cente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9</w:t>
            </w:r>
          </w:p>
        </w:tc>
        <w:tc>
          <w:tcPr>
            <w:tcW w:w="8383" w:type="dxa"/>
          </w:tcPr>
          <w:p>
            <w:pPr>
              <w:spacing w:line="280" w:lineRule="exact"/>
              <w:rPr>
                <w:rFonts w:ascii="Times New Roman" w:hAnsi="Times New Roman" w:eastAsia="宋体" w:cs="Times New Roman"/>
                <w:color w:val="000000" w:themeColor="text1"/>
                <w:szCs w:val="21"/>
                <w:highlight w:val="none"/>
                <w:lang w:val="ru-RU"/>
              </w:rPr>
            </w:pPr>
            <w:r>
              <w:rPr>
                <w:rFonts w:hint="eastAsia" w:ascii="Times New Roman" w:hAnsi="Times New Roman" w:eastAsia="宋体" w:cs="Times New Roman"/>
                <w:color w:val="000000" w:themeColor="text1"/>
                <w:szCs w:val="21"/>
                <w:highlight w:val="none"/>
              </w:rPr>
              <w:t>如有新增卡种，根据制作工艺及芯片容量采用中标单位相关报价结算。</w:t>
            </w:r>
          </w:p>
        </w:tc>
        <w:tc>
          <w:tcPr>
            <w:tcW w:w="663" w:type="dxa"/>
          </w:tcPr>
          <w:p>
            <w:pPr>
              <w:tabs>
                <w:tab w:val="left" w:pos="1050"/>
                <w:tab w:val="left" w:pos="1470"/>
              </w:tabs>
              <w:spacing w:line="280" w:lineRule="exact"/>
              <w:rPr>
                <w:rFonts w:ascii="Times New Roman" w:hAnsi="Times New Roman" w:eastAsia="宋体" w:cs="Times New Roman"/>
                <w:bCs/>
                <w:color w:val="000000" w:themeColor="text1"/>
                <w:szCs w:val="21"/>
                <w:highlight w:val="none"/>
              </w:rPr>
            </w:pPr>
          </w:p>
        </w:tc>
        <w:tc>
          <w:tcPr>
            <w:tcW w:w="1276" w:type="dxa"/>
          </w:tcPr>
          <w:p>
            <w:pPr>
              <w:tabs>
                <w:tab w:val="left" w:pos="1050"/>
                <w:tab w:val="left" w:pos="1470"/>
              </w:tabs>
              <w:spacing w:line="280" w:lineRule="exact"/>
              <w:rPr>
                <w:rFonts w:ascii="Times New Roman" w:hAnsi="Times New Roman" w:eastAsia="宋体" w:cs="Times New Roman"/>
                <w:bCs/>
                <w:color w:val="000000" w:themeColor="text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blHeader/>
        </w:trPr>
        <w:tc>
          <w:tcPr>
            <w:tcW w:w="452" w:type="dxa"/>
            <w:vAlign w:val="center"/>
          </w:tcPr>
          <w:p>
            <w:pPr>
              <w:tabs>
                <w:tab w:val="left" w:pos="1050"/>
                <w:tab w:val="left" w:pos="1470"/>
              </w:tabs>
              <w:spacing w:line="280" w:lineRule="exact"/>
              <w:jc w:val="cente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10</w:t>
            </w:r>
          </w:p>
        </w:tc>
        <w:tc>
          <w:tcPr>
            <w:tcW w:w="8383" w:type="dxa"/>
          </w:tcPr>
          <w:p>
            <w:pPr>
              <w:spacing w:line="280" w:lineRule="exact"/>
              <w:rPr>
                <w:rFonts w:ascii="Times New Roman" w:hAnsi="Times New Roman" w:eastAsia="宋体" w:cs="Times New Roman"/>
                <w:color w:val="000000" w:themeColor="text1"/>
                <w:szCs w:val="21"/>
                <w:highlight w:val="none"/>
                <w:lang w:val="ru-RU"/>
              </w:rPr>
            </w:pPr>
            <w:r>
              <w:rPr>
                <w:rFonts w:hint="eastAsia" w:ascii="Times New Roman" w:hAnsi="Times New Roman" w:eastAsia="宋体" w:cs="Times New Roman"/>
                <w:color w:val="000000" w:themeColor="text1"/>
                <w:szCs w:val="21"/>
                <w:highlight w:val="none"/>
              </w:rPr>
              <w:t>采购结果适用2年，合同为一年一签。</w:t>
            </w:r>
          </w:p>
        </w:tc>
        <w:tc>
          <w:tcPr>
            <w:tcW w:w="663" w:type="dxa"/>
          </w:tcPr>
          <w:p>
            <w:pPr>
              <w:tabs>
                <w:tab w:val="left" w:pos="1050"/>
                <w:tab w:val="left" w:pos="1470"/>
              </w:tabs>
              <w:spacing w:line="280" w:lineRule="exact"/>
              <w:rPr>
                <w:rFonts w:ascii="Times New Roman" w:hAnsi="Times New Roman" w:eastAsia="宋体" w:cs="Times New Roman"/>
                <w:bCs/>
                <w:color w:val="000000" w:themeColor="text1"/>
                <w:szCs w:val="21"/>
                <w:highlight w:val="none"/>
              </w:rPr>
            </w:pPr>
          </w:p>
        </w:tc>
        <w:tc>
          <w:tcPr>
            <w:tcW w:w="1276" w:type="dxa"/>
          </w:tcPr>
          <w:p>
            <w:pPr>
              <w:tabs>
                <w:tab w:val="left" w:pos="1050"/>
                <w:tab w:val="left" w:pos="1470"/>
              </w:tabs>
              <w:spacing w:line="280" w:lineRule="exact"/>
              <w:rPr>
                <w:rFonts w:ascii="Times New Roman" w:hAnsi="Times New Roman" w:eastAsia="宋体" w:cs="Times New Roman"/>
                <w:bCs/>
                <w:color w:val="000000" w:themeColor="text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blHeader/>
        </w:trPr>
        <w:tc>
          <w:tcPr>
            <w:tcW w:w="452" w:type="dxa"/>
            <w:vAlign w:val="center"/>
          </w:tcPr>
          <w:p>
            <w:pPr>
              <w:tabs>
                <w:tab w:val="left" w:pos="1050"/>
                <w:tab w:val="left" w:pos="1470"/>
              </w:tabs>
              <w:spacing w:line="280" w:lineRule="exact"/>
              <w:jc w:val="cente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11</w:t>
            </w:r>
          </w:p>
        </w:tc>
        <w:tc>
          <w:tcPr>
            <w:tcW w:w="8383" w:type="dxa"/>
          </w:tcPr>
          <w:p>
            <w:pPr>
              <w:spacing w:line="280" w:lineRule="exact"/>
              <w:rPr>
                <w:rFonts w:ascii="Times New Roman" w:hAnsi="Times New Roman" w:eastAsia="宋体" w:cs="Times New Roman"/>
                <w:color w:val="000000" w:themeColor="text1"/>
                <w:szCs w:val="21"/>
                <w:highlight w:val="none"/>
                <w:lang w:val="ru-RU"/>
              </w:rPr>
            </w:pPr>
            <w:r>
              <w:rPr>
                <w:rFonts w:hint="eastAsia" w:ascii="Times New Roman" w:hAnsi="Times New Roman" w:eastAsia="宋体" w:cs="Times New Roman"/>
                <w:color w:val="000000" w:themeColor="text1"/>
                <w:szCs w:val="21"/>
                <w:highlight w:val="none"/>
              </w:rPr>
              <w:t>本项目招标文件的预计采购量为估算值，不是招标人的实际采购量或承诺采购量，仅供供应商报价时参考，据此计算得出的总金额（即投标总报价）仅在评审时使用。实际采购数量以招标人的采购订单为准，采购价格按招标确定的中标单价计算，如合同执行期间新增卡种，根据制作工艺及芯片容量采用相关报价。</w:t>
            </w:r>
          </w:p>
        </w:tc>
        <w:tc>
          <w:tcPr>
            <w:tcW w:w="663" w:type="dxa"/>
          </w:tcPr>
          <w:p>
            <w:pPr>
              <w:tabs>
                <w:tab w:val="left" w:pos="1050"/>
                <w:tab w:val="left" w:pos="1470"/>
              </w:tabs>
              <w:spacing w:line="280" w:lineRule="exact"/>
              <w:rPr>
                <w:rFonts w:ascii="Times New Roman" w:hAnsi="Times New Roman" w:eastAsia="宋体" w:cs="Times New Roman"/>
                <w:bCs/>
                <w:color w:val="000000" w:themeColor="text1"/>
                <w:szCs w:val="21"/>
                <w:highlight w:val="none"/>
              </w:rPr>
            </w:pPr>
          </w:p>
        </w:tc>
        <w:tc>
          <w:tcPr>
            <w:tcW w:w="1276" w:type="dxa"/>
          </w:tcPr>
          <w:p>
            <w:pPr>
              <w:tabs>
                <w:tab w:val="left" w:pos="1050"/>
                <w:tab w:val="left" w:pos="1470"/>
              </w:tabs>
              <w:spacing w:line="280" w:lineRule="exact"/>
              <w:rPr>
                <w:rFonts w:ascii="Times New Roman" w:hAnsi="Times New Roman" w:eastAsia="宋体" w:cs="Times New Roman"/>
                <w:bCs/>
                <w:color w:val="000000" w:themeColor="text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blHeader/>
        </w:trPr>
        <w:tc>
          <w:tcPr>
            <w:tcW w:w="452" w:type="dxa"/>
            <w:vAlign w:val="center"/>
          </w:tcPr>
          <w:p>
            <w:pPr>
              <w:tabs>
                <w:tab w:val="left" w:pos="1050"/>
                <w:tab w:val="left" w:pos="1470"/>
              </w:tabs>
              <w:spacing w:line="280" w:lineRule="exact"/>
              <w:jc w:val="cente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Cs w:val="21"/>
                <w:highlight w:val="none"/>
              </w:rPr>
              <w:t>12</w:t>
            </w:r>
          </w:p>
        </w:tc>
        <w:tc>
          <w:tcPr>
            <w:tcW w:w="8383" w:type="dxa"/>
          </w:tcPr>
          <w:p>
            <w:pPr>
              <w:spacing w:line="280" w:lineRule="exact"/>
              <w:rPr>
                <w:rFonts w:ascii="Times New Roman" w:hAnsi="Times New Roman" w:eastAsia="宋体" w:cs="Times New Roman"/>
                <w:color w:val="000000" w:themeColor="text1"/>
                <w:szCs w:val="21"/>
                <w:highlight w:val="none"/>
                <w:lang w:val="ru-RU"/>
              </w:rPr>
            </w:pPr>
            <w:r>
              <w:rPr>
                <w:rFonts w:hint="eastAsia" w:ascii="Times New Roman" w:hAnsi="Times New Roman" w:eastAsia="宋体" w:cs="Times New Roman"/>
                <w:color w:val="000000" w:themeColor="text1"/>
                <w:szCs w:val="21"/>
                <w:highlight w:val="none"/>
              </w:rPr>
              <w:t>中标供应商应立即对投标产品进行相关测试，报送银行卡检测中心检测，所有检测费用由供应商承担。</w:t>
            </w:r>
          </w:p>
        </w:tc>
        <w:tc>
          <w:tcPr>
            <w:tcW w:w="663" w:type="dxa"/>
          </w:tcPr>
          <w:p>
            <w:pPr>
              <w:tabs>
                <w:tab w:val="left" w:pos="1050"/>
                <w:tab w:val="left" w:pos="1470"/>
              </w:tabs>
              <w:spacing w:line="280" w:lineRule="exact"/>
              <w:rPr>
                <w:rFonts w:ascii="Times New Roman" w:hAnsi="Times New Roman" w:eastAsia="宋体" w:cs="Times New Roman"/>
                <w:bCs/>
                <w:color w:val="000000" w:themeColor="text1"/>
                <w:szCs w:val="21"/>
                <w:highlight w:val="none"/>
              </w:rPr>
            </w:pPr>
          </w:p>
        </w:tc>
        <w:tc>
          <w:tcPr>
            <w:tcW w:w="1276" w:type="dxa"/>
          </w:tcPr>
          <w:p>
            <w:pPr>
              <w:tabs>
                <w:tab w:val="left" w:pos="1050"/>
                <w:tab w:val="left" w:pos="1470"/>
              </w:tabs>
              <w:spacing w:line="280" w:lineRule="exact"/>
              <w:rPr>
                <w:rFonts w:ascii="Times New Roman" w:hAnsi="Times New Roman" w:eastAsia="宋体" w:cs="Times New Roman"/>
                <w:bCs/>
                <w:color w:val="000000" w:themeColor="text1"/>
                <w:szCs w:val="21"/>
                <w:highlight w:val="none"/>
              </w:rPr>
            </w:pPr>
          </w:p>
        </w:tc>
      </w:tr>
    </w:tbl>
    <w:p>
      <w:pPr>
        <w:tabs>
          <w:tab w:val="left" w:pos="6300"/>
        </w:tabs>
        <w:snapToGrid w:val="0"/>
        <w:spacing w:line="280" w:lineRule="exact"/>
        <w:rPr>
          <w:rFonts w:ascii="Times New Roman" w:hAnsi="Times New Roman" w:eastAsia="宋体" w:cs="Times New Roman"/>
          <w:color w:val="000000" w:themeColor="text1"/>
          <w:szCs w:val="21"/>
          <w:highlight w:val="none"/>
        </w:rPr>
      </w:pPr>
    </w:p>
    <w:p>
      <w:pPr>
        <w:tabs>
          <w:tab w:val="left" w:pos="6300"/>
        </w:tabs>
        <w:snapToGrid w:val="0"/>
        <w:spacing w:line="280" w:lineRule="exact"/>
        <w:rPr>
          <w:rFonts w:ascii="Times New Roman" w:hAnsi="Times New Roman" w:eastAsia="宋体" w:cs="Times New Roman"/>
          <w:color w:val="000000" w:themeColor="text1"/>
          <w:szCs w:val="21"/>
          <w:highlight w:val="none"/>
        </w:rPr>
      </w:pPr>
    </w:p>
    <w:p>
      <w:pPr>
        <w:tabs>
          <w:tab w:val="left" w:pos="6300"/>
        </w:tabs>
        <w:snapToGrid w:val="0"/>
        <w:spacing w:line="280" w:lineRule="exact"/>
        <w:rPr>
          <w:rFonts w:ascii="宋体" w:hAnsi="宋体" w:eastAsia="宋体" w:cs="Times New Roman"/>
          <w:b/>
          <w:color w:val="000000" w:themeColor="text1"/>
          <w:szCs w:val="21"/>
          <w:highlight w:val="none"/>
        </w:rPr>
      </w:pPr>
      <w:r>
        <w:rPr>
          <w:rFonts w:ascii="Times New Roman" w:hAnsi="Times New Roman" w:eastAsia="宋体" w:cs="Times New Roman"/>
          <w:color w:val="000000" w:themeColor="text1"/>
          <w:szCs w:val="21"/>
          <w:highlight w:val="none"/>
        </w:rPr>
        <w:t>注：请各投标人仔细阅读招标文件相关条款，投标人对招标文件要求进行响应后，招标人在后期合同签订和项目实施过程中将按照招标文件要求执行，不再做出调整。</w:t>
      </w:r>
    </w:p>
    <w:p>
      <w:pPr>
        <w:tabs>
          <w:tab w:val="left" w:pos="6300"/>
        </w:tabs>
        <w:snapToGrid w:val="0"/>
        <w:spacing w:line="280" w:lineRule="exact"/>
        <w:rPr>
          <w:rFonts w:ascii="宋体" w:hAnsi="宋体" w:eastAsia="宋体" w:cs="Times New Roman"/>
          <w:b/>
          <w:color w:val="000000" w:themeColor="text1"/>
          <w:szCs w:val="21"/>
          <w:highlight w:val="none"/>
        </w:rPr>
      </w:pPr>
    </w:p>
    <w:p>
      <w:pPr>
        <w:tabs>
          <w:tab w:val="left" w:pos="6300"/>
        </w:tabs>
        <w:snapToGrid w:val="0"/>
        <w:spacing w:line="280" w:lineRule="exact"/>
        <w:rPr>
          <w:rFonts w:ascii="宋体" w:hAnsi="宋体" w:eastAsia="宋体" w:cs="Times New Roman"/>
          <w:b/>
          <w:color w:val="000000" w:themeColor="text1"/>
          <w:szCs w:val="21"/>
          <w:highlight w:val="none"/>
        </w:rPr>
      </w:pPr>
    </w:p>
    <w:p>
      <w:pPr>
        <w:tabs>
          <w:tab w:val="left" w:pos="6300"/>
        </w:tabs>
        <w:snapToGrid w:val="0"/>
        <w:spacing w:line="280" w:lineRule="exact"/>
        <w:rPr>
          <w:rFonts w:ascii="宋体" w:hAnsi="宋体" w:eastAsia="宋体" w:cs="Times New Roman"/>
          <w:b/>
          <w:color w:val="000000" w:themeColor="text1"/>
          <w:szCs w:val="21"/>
          <w:highlight w:val="none"/>
        </w:rPr>
      </w:pPr>
      <w:r>
        <w:rPr>
          <w:rFonts w:hint="eastAsia" w:ascii="宋体" w:hAnsi="宋体" w:eastAsia="宋体" w:cs="Times New Roman"/>
          <w:b/>
          <w:color w:val="000000" w:themeColor="text1"/>
          <w:szCs w:val="21"/>
          <w:highlight w:val="none"/>
        </w:rPr>
        <w:t>投标人：（公章）</w:t>
      </w:r>
    </w:p>
    <w:p>
      <w:pPr>
        <w:spacing w:line="280" w:lineRule="exact"/>
        <w:rPr>
          <w:rFonts w:ascii="宋体" w:hAnsi="宋体" w:eastAsia="宋体" w:cs="Times New Roman"/>
          <w:color w:val="000000" w:themeColor="text1"/>
          <w:szCs w:val="21"/>
          <w:highlight w:val="none"/>
        </w:rPr>
      </w:pPr>
      <w:r>
        <w:rPr>
          <w:rFonts w:hint="eastAsia" w:ascii="宋体" w:hAnsi="宋体" w:eastAsia="宋体" w:cs="Times New Roman"/>
          <w:b/>
          <w:color w:val="000000" w:themeColor="text1"/>
          <w:szCs w:val="21"/>
          <w:highlight w:val="none"/>
        </w:rPr>
        <w:t>法定代表人或其委托代理人：（盖章或签字）</w:t>
      </w:r>
    </w:p>
    <w:p>
      <w:pPr>
        <w:spacing w:line="280" w:lineRule="exact"/>
        <w:ind w:firstLine="1890" w:firstLineChars="900"/>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年   月   日</w:t>
      </w:r>
    </w:p>
    <w:p>
      <w:pPr>
        <w:spacing w:line="280" w:lineRule="exact"/>
        <w:ind w:firstLine="1890" w:firstLineChars="900"/>
        <w:rPr>
          <w:rFonts w:ascii="宋体" w:hAnsi="宋体" w:eastAsia="宋体" w:cs="Times New Roman"/>
          <w:color w:val="000000" w:themeColor="text1"/>
          <w:szCs w:val="21"/>
          <w:highlight w:val="none"/>
        </w:rPr>
      </w:pPr>
    </w:p>
    <w:p>
      <w:pPr>
        <w:spacing w:line="280" w:lineRule="exact"/>
        <w:ind w:firstLine="1890" w:firstLineChars="900"/>
        <w:rPr>
          <w:rFonts w:ascii="宋体" w:hAnsi="宋体" w:eastAsia="宋体" w:cs="Times New Roman"/>
          <w:color w:val="000000" w:themeColor="text1"/>
          <w:szCs w:val="21"/>
          <w:highlight w:val="none"/>
        </w:rPr>
      </w:pPr>
    </w:p>
    <w:p>
      <w:pPr>
        <w:spacing w:line="320" w:lineRule="exact"/>
        <w:ind w:firstLine="1890" w:firstLineChars="900"/>
        <w:rPr>
          <w:rFonts w:ascii="宋体" w:hAnsi="宋体" w:eastAsia="宋体" w:cs="Times New Roman"/>
          <w:color w:val="000000" w:themeColor="text1"/>
          <w:szCs w:val="21"/>
          <w:highlight w:val="none"/>
        </w:rPr>
      </w:pPr>
    </w:p>
    <w:p>
      <w:pPr>
        <w:spacing w:line="320" w:lineRule="exact"/>
        <w:ind w:firstLine="1890" w:firstLineChars="900"/>
        <w:rPr>
          <w:rFonts w:ascii="宋体" w:hAnsi="宋体" w:eastAsia="宋体" w:cs="Times New Roman"/>
          <w:color w:val="000000" w:themeColor="text1"/>
          <w:szCs w:val="21"/>
          <w:highlight w:val="none"/>
        </w:rPr>
      </w:pPr>
    </w:p>
    <w:p>
      <w:pPr>
        <w:spacing w:line="320" w:lineRule="exact"/>
        <w:ind w:firstLine="1890" w:firstLineChars="900"/>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br w:type="page"/>
      </w:r>
    </w:p>
    <w:p>
      <w:pPr>
        <w:keepNext/>
        <w:keepLines/>
        <w:tabs>
          <w:tab w:val="left" w:pos="1418"/>
        </w:tabs>
        <w:spacing w:line="320" w:lineRule="exact"/>
        <w:rPr>
          <w:rFonts w:ascii="宋体" w:hAnsi="宋体" w:eastAsia="宋体" w:cs="Times New Roman"/>
          <w:color w:val="000000" w:themeColor="text1"/>
          <w:szCs w:val="21"/>
          <w:highlight w:val="none"/>
        </w:rPr>
      </w:pPr>
      <w:r>
        <w:rPr>
          <w:rFonts w:hint="eastAsia" w:ascii="宋体" w:hAnsi="宋体" w:eastAsia="宋体" w:cs="Times New Roman"/>
          <w:color w:val="000000" w:themeColor="text1"/>
          <w:szCs w:val="21"/>
          <w:highlight w:val="none"/>
        </w:rPr>
        <w:t>附件3：</w:t>
      </w:r>
    </w:p>
    <w:p>
      <w:pPr>
        <w:keepNext/>
        <w:keepLines/>
        <w:tabs>
          <w:tab w:val="left" w:pos="1418"/>
        </w:tabs>
        <w:spacing w:line="320" w:lineRule="exact"/>
        <w:jc w:val="center"/>
        <w:rPr>
          <w:rFonts w:ascii="Times New Roman" w:hAnsi="Times New Roman" w:eastAsia="仿宋" w:cs="Times New Roman"/>
          <w:b/>
          <w:bCs/>
          <w:color w:val="000000" w:themeColor="text1"/>
          <w:kern w:val="0"/>
          <w:sz w:val="30"/>
          <w:szCs w:val="30"/>
          <w:highlight w:val="none"/>
        </w:rPr>
      </w:pPr>
      <w:r>
        <w:rPr>
          <w:rFonts w:hint="eastAsia" w:ascii="Times New Roman" w:hAnsi="Times New Roman" w:eastAsia="仿宋" w:cs="Times New Roman"/>
          <w:b/>
          <w:bCs/>
          <w:color w:val="000000" w:themeColor="text1"/>
          <w:kern w:val="0"/>
          <w:sz w:val="30"/>
          <w:szCs w:val="30"/>
          <w:highlight w:val="none"/>
        </w:rPr>
        <w:t>技术符合性应答表</w:t>
      </w:r>
    </w:p>
    <w:p>
      <w:pPr>
        <w:spacing w:line="280" w:lineRule="exact"/>
        <w:rPr>
          <w:rFonts w:ascii="Times New Roman" w:hAnsi="Times New Roman" w:eastAsia="仿宋" w:cs="Times New Roman"/>
          <w:bCs/>
          <w:color w:val="000000" w:themeColor="text1"/>
          <w:szCs w:val="21"/>
          <w:highlight w:val="none"/>
          <w:u w:val="single"/>
        </w:rPr>
      </w:pPr>
      <w:r>
        <w:rPr>
          <w:rFonts w:hint="eastAsia" w:ascii="Times New Roman" w:hAnsi="Times New Roman" w:eastAsia="仿宋" w:cs="Times New Roman"/>
          <w:bCs/>
          <w:color w:val="000000" w:themeColor="text1"/>
          <w:szCs w:val="21"/>
          <w:highlight w:val="none"/>
          <w:u w:val="single"/>
        </w:rPr>
        <w:t>（该表以招标文件正文第五章《项目需求》中“技术符合性要求”的内容描述为准，请各投标人按“技术符合性要求”的全部内容及条款逐条作出响应。）</w:t>
      </w:r>
    </w:p>
    <w:p>
      <w:pPr>
        <w:tabs>
          <w:tab w:val="left" w:pos="6300"/>
        </w:tabs>
        <w:snapToGrid w:val="0"/>
        <w:spacing w:line="320" w:lineRule="exact"/>
        <w:rPr>
          <w:rFonts w:ascii="Times New Roman" w:hAnsi="Times New Roman" w:eastAsia="宋体" w:cs="Times New Roman"/>
          <w:color w:val="000000" w:themeColor="text1"/>
          <w:szCs w:val="21"/>
          <w:highlight w:val="none"/>
        </w:rPr>
      </w:pPr>
    </w:p>
    <w:tbl>
      <w:tblPr>
        <w:tblStyle w:val="55"/>
        <w:tblW w:w="9760" w:type="dxa"/>
        <w:tblInd w:w="-4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3"/>
        <w:gridCol w:w="7307"/>
        <w:gridCol w:w="699"/>
        <w:gridCol w:w="1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1" w:hRule="atLeast"/>
        </w:trPr>
        <w:tc>
          <w:tcPr>
            <w:tcW w:w="403" w:type="dxa"/>
            <w:shd w:val="clear" w:color="auto" w:fill="BFBFBF"/>
            <w:vAlign w:val="center"/>
          </w:tcPr>
          <w:p>
            <w:pPr>
              <w:tabs>
                <w:tab w:val="left" w:pos="1050"/>
                <w:tab w:val="left" w:pos="1470"/>
              </w:tabs>
              <w:spacing w:line="240" w:lineRule="exact"/>
              <w:rPr>
                <w:color w:val="000000" w:themeColor="text1"/>
                <w:highlight w:val="none"/>
              </w:rPr>
            </w:pPr>
            <w:r>
              <w:rPr>
                <w:rFonts w:ascii="Times New Roman" w:hAnsi="Times New Roman" w:eastAsia="宋体" w:cs="Times New Roman"/>
                <w:color w:val="000000" w:themeColor="text1"/>
                <w:sz w:val="18"/>
                <w:szCs w:val="21"/>
                <w:highlight w:val="none"/>
              </w:rPr>
              <w:t>条款号</w:t>
            </w:r>
          </w:p>
        </w:tc>
        <w:tc>
          <w:tcPr>
            <w:tcW w:w="7307" w:type="dxa"/>
            <w:vAlign w:val="center"/>
          </w:tcPr>
          <w:p>
            <w:pPr>
              <w:tabs>
                <w:tab w:val="left" w:pos="1050"/>
                <w:tab w:val="left" w:pos="1470"/>
              </w:tabs>
              <w:spacing w:line="240" w:lineRule="exact"/>
              <w:jc w:val="center"/>
              <w:rPr>
                <w:rFonts w:ascii="Times New Roman" w:hAnsi="Times New Roman" w:eastAsia="宋体" w:cs="Times New Roman"/>
                <w:color w:val="000000" w:themeColor="text1"/>
                <w:szCs w:val="21"/>
                <w:highlight w:val="none"/>
              </w:rPr>
            </w:pPr>
            <w:r>
              <w:rPr>
                <w:rFonts w:ascii="Times New Roman" w:hAnsi="Times New Roman" w:eastAsia="宋体" w:cs="Times New Roman"/>
                <w:color w:val="000000" w:themeColor="text1"/>
                <w:sz w:val="18"/>
                <w:szCs w:val="21"/>
                <w:highlight w:val="none"/>
              </w:rPr>
              <w:t>招标要求</w:t>
            </w:r>
          </w:p>
        </w:tc>
        <w:tc>
          <w:tcPr>
            <w:tcW w:w="699" w:type="dxa"/>
            <w:vAlign w:val="center"/>
          </w:tcPr>
          <w:p>
            <w:pPr>
              <w:tabs>
                <w:tab w:val="left" w:pos="1050"/>
                <w:tab w:val="left" w:pos="1470"/>
              </w:tabs>
              <w:spacing w:line="240" w:lineRule="exact"/>
              <w:jc w:val="center"/>
              <w:rPr>
                <w:rFonts w:ascii="Times New Roman" w:hAnsi="Times New Roman" w:eastAsia="宋体" w:cs="Times New Roman"/>
                <w:color w:val="000000" w:themeColor="text1"/>
                <w:szCs w:val="21"/>
                <w:highlight w:val="none"/>
              </w:rPr>
            </w:pPr>
            <w:r>
              <w:rPr>
                <w:rFonts w:hint="eastAsia" w:ascii="Times New Roman" w:hAnsi="Times New Roman" w:eastAsia="宋体" w:cs="Times New Roman"/>
                <w:color w:val="000000" w:themeColor="text1"/>
                <w:sz w:val="18"/>
                <w:szCs w:val="21"/>
                <w:highlight w:val="none"/>
              </w:rPr>
              <w:t>有否偏离</w:t>
            </w:r>
          </w:p>
        </w:tc>
        <w:tc>
          <w:tcPr>
            <w:tcW w:w="1351" w:type="dxa"/>
            <w:vAlign w:val="center"/>
          </w:tcPr>
          <w:p>
            <w:pPr>
              <w:tabs>
                <w:tab w:val="left" w:pos="1050"/>
                <w:tab w:val="left" w:pos="1470"/>
              </w:tabs>
              <w:spacing w:line="240" w:lineRule="exact"/>
              <w:jc w:val="left"/>
              <w:rPr>
                <w:rFonts w:ascii="Times New Roman" w:hAnsi="Times New Roman" w:eastAsia="宋体" w:cs="Times New Roman"/>
                <w:color w:val="000000" w:themeColor="text1"/>
                <w:sz w:val="18"/>
                <w:szCs w:val="21"/>
                <w:highlight w:val="none"/>
              </w:rPr>
            </w:pPr>
            <w:r>
              <w:rPr>
                <w:rFonts w:hint="eastAsia" w:ascii="Times New Roman" w:hAnsi="Times New Roman" w:eastAsia="宋体" w:cs="Times New Roman"/>
                <w:color w:val="000000" w:themeColor="text1"/>
                <w:sz w:val="18"/>
                <w:szCs w:val="21"/>
                <w:highlight w:val="none"/>
              </w:rPr>
              <w:t>如有偏离，</w:t>
            </w:r>
          </w:p>
          <w:p>
            <w:pPr>
              <w:tabs>
                <w:tab w:val="left" w:pos="1050"/>
                <w:tab w:val="left" w:pos="1470"/>
              </w:tabs>
              <w:spacing w:line="240" w:lineRule="exact"/>
              <w:jc w:val="left"/>
              <w:rPr>
                <w:rFonts w:ascii="Times New Roman" w:hAnsi="Times New Roman" w:eastAsia="宋体" w:cs="Times New Roman"/>
                <w:b/>
                <w:color w:val="000000" w:themeColor="text1"/>
                <w:szCs w:val="21"/>
                <w:highlight w:val="none"/>
              </w:rPr>
            </w:pPr>
            <w:r>
              <w:rPr>
                <w:rFonts w:hint="eastAsia" w:ascii="Times New Roman" w:hAnsi="Times New Roman" w:eastAsia="宋体" w:cs="Times New Roman"/>
                <w:color w:val="000000" w:themeColor="text1"/>
                <w:sz w:val="18"/>
                <w:szCs w:val="21"/>
                <w:highlight w:val="none"/>
              </w:rPr>
              <w:t>请自此备注偏离内容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6" w:hRule="atLeast"/>
        </w:trPr>
        <w:tc>
          <w:tcPr>
            <w:tcW w:w="403" w:type="dxa"/>
            <w:vAlign w:val="center"/>
          </w:tcPr>
          <w:p>
            <w:pPr>
              <w:tabs>
                <w:tab w:val="left" w:pos="1050"/>
                <w:tab w:val="left" w:pos="1470"/>
              </w:tabs>
              <w:rPr>
                <w:color w:val="000000" w:themeColor="text1"/>
                <w:highlight w:val="none"/>
              </w:rPr>
            </w:pPr>
            <w:r>
              <w:rPr>
                <w:rFonts w:hint="eastAsia"/>
                <w:color w:val="000000" w:themeColor="text1"/>
                <w:highlight w:val="none"/>
              </w:rPr>
              <w:t>1</w:t>
            </w:r>
          </w:p>
        </w:tc>
        <w:tc>
          <w:tcPr>
            <w:tcW w:w="7307" w:type="dxa"/>
            <w:vAlign w:val="center"/>
          </w:tcPr>
          <w:p>
            <w:pPr>
              <w:adjustRightInd w:val="0"/>
              <w:spacing w:line="360" w:lineRule="auto"/>
              <w:textAlignment w:val="baseline"/>
              <w:rPr>
                <w:rFonts w:ascii="仿宋_GB2312" w:eastAsia="仿宋_GB2312"/>
                <w:b/>
                <w:color w:val="000000" w:themeColor="text1"/>
                <w:sz w:val="24"/>
                <w:szCs w:val="36"/>
                <w:highlight w:val="none"/>
              </w:rPr>
            </w:pPr>
            <w:r>
              <w:rPr>
                <w:rFonts w:hint="eastAsia" w:ascii="仿宋_GB2312" w:eastAsia="仿宋_GB2312"/>
                <w:b/>
                <w:color w:val="000000" w:themeColor="text1"/>
                <w:sz w:val="24"/>
                <w:szCs w:val="36"/>
                <w:highlight w:val="none"/>
              </w:rPr>
              <w:t>IC卡芯片技术要求</w:t>
            </w:r>
          </w:p>
          <w:p>
            <w:pPr>
              <w:adjustRightInd w:val="0"/>
              <w:spacing w:line="360" w:lineRule="auto"/>
              <w:textAlignment w:val="baseline"/>
              <w:rPr>
                <w:rFonts w:ascii="仿宋_GB2312" w:eastAsia="仿宋_GB2312"/>
                <w:b/>
                <w:color w:val="000000" w:themeColor="text1"/>
                <w:sz w:val="24"/>
                <w:szCs w:val="36"/>
                <w:highlight w:val="none"/>
              </w:rPr>
            </w:pPr>
          </w:p>
          <w:p>
            <w:pPr>
              <w:adjustRightInd w:val="0"/>
              <w:spacing w:line="360" w:lineRule="auto"/>
              <w:ind w:firstLine="315" w:firstLineChars="150"/>
              <w:textAlignment w:val="baseline"/>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PBOC标准的双界面IC卡技术要求：</w:t>
            </w:r>
          </w:p>
          <w:p>
            <w:pPr>
              <w:adjustRightInd w:val="0"/>
              <w:spacing w:line="360" w:lineRule="auto"/>
              <w:ind w:firstLine="315" w:firstLineChars="150"/>
              <w:textAlignment w:val="baseline"/>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1.容量：36K EEPROM以上芯片（含36K）、72K EEPROM以上芯片（含72K）</w:t>
            </w:r>
          </w:p>
          <w:p>
            <w:pPr>
              <w:adjustRightInd w:val="0"/>
              <w:spacing w:line="360" w:lineRule="auto"/>
              <w:ind w:firstLine="315" w:firstLineChars="150"/>
              <w:textAlignment w:val="baseline"/>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2.Java平台，符合</w:t>
            </w:r>
            <w:r>
              <w:rPr>
                <w:rFonts w:hint="eastAsia" w:ascii="仿宋_GB2312" w:hAnsi="宋体" w:eastAsia="仿宋_GB2312" w:cs="宋体"/>
                <w:color w:val="000000" w:themeColor="text1"/>
                <w:kern w:val="0"/>
                <w:szCs w:val="28"/>
                <w:highlight w:val="none"/>
              </w:rPr>
              <w:t>Global Platform 2.1.1</w:t>
            </w:r>
            <w:r>
              <w:rPr>
                <w:rFonts w:hint="eastAsia" w:ascii="仿宋_GB2312" w:hAnsi="宋体" w:eastAsia="仿宋_GB2312"/>
                <w:color w:val="000000" w:themeColor="text1"/>
                <w:szCs w:val="28"/>
                <w:highlight w:val="none"/>
              </w:rPr>
              <w:t>及JavaCard2.2.1规范</w:t>
            </w:r>
          </w:p>
          <w:p>
            <w:pPr>
              <w:adjustRightInd w:val="0"/>
              <w:spacing w:line="360" w:lineRule="auto"/>
              <w:ind w:firstLine="315" w:firstLineChars="150"/>
              <w:textAlignment w:val="baseline"/>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3.借记/贷记（含小额支付及电子现金）应用、非接支付应用支持PBOC2.0、3.0及银联公布的最新规范</w:t>
            </w:r>
          </w:p>
          <w:p>
            <w:pPr>
              <w:adjustRightInd w:val="0"/>
              <w:spacing w:line="360" w:lineRule="auto"/>
              <w:ind w:firstLine="315" w:firstLineChars="150"/>
              <w:textAlignment w:val="baseline"/>
              <w:rPr>
                <w:rFonts w:ascii="仿宋_GB2312" w:hAnsi="宋体" w:eastAsia="仿宋_GB2312"/>
                <w:color w:val="000000" w:themeColor="text1"/>
                <w:szCs w:val="28"/>
                <w:highlight w:val="none"/>
              </w:rPr>
            </w:pPr>
            <w:r>
              <w:rPr>
                <w:rFonts w:hint="eastAsia" w:ascii="仿宋_GB2312" w:hAnsi="宋体" w:eastAsia="仿宋_GB2312" w:cs="宋体"/>
                <w:color w:val="000000" w:themeColor="text1"/>
                <w:kern w:val="0"/>
                <w:szCs w:val="28"/>
                <w:highlight w:val="none"/>
              </w:rPr>
              <w:t>4.支持SDA、DDA、CDA验证方法，以及其他PBOC安全规范中要求的加解密功能，包括脱机PIN验证，发卡行认证，脚本处理</w:t>
            </w:r>
          </w:p>
          <w:p>
            <w:pPr>
              <w:adjustRightInd w:val="0"/>
              <w:spacing w:line="360" w:lineRule="auto"/>
              <w:ind w:firstLine="315" w:firstLineChars="150"/>
              <w:textAlignment w:val="baseline"/>
              <w:rPr>
                <w:rFonts w:ascii="仿宋_GB2312" w:hAnsi="宋体" w:eastAsia="仿宋_GB2312"/>
                <w:color w:val="000000" w:themeColor="text1"/>
                <w:szCs w:val="28"/>
                <w:highlight w:val="none"/>
              </w:rPr>
            </w:pPr>
            <w:r>
              <w:rPr>
                <w:rFonts w:hint="eastAsia" w:ascii="仿宋_GB2312" w:hAnsi="宋体" w:eastAsia="仿宋_GB2312" w:cs="宋体"/>
                <w:color w:val="000000" w:themeColor="text1"/>
                <w:kern w:val="0"/>
                <w:szCs w:val="28"/>
                <w:highlight w:val="none"/>
              </w:rPr>
              <w:t>5.接触式界面符合ISO7816标准，非接触界面符合ISO14443标准</w:t>
            </w:r>
          </w:p>
          <w:p>
            <w:pPr>
              <w:adjustRightInd w:val="0"/>
              <w:spacing w:line="360" w:lineRule="auto"/>
              <w:ind w:firstLine="315" w:firstLineChars="150"/>
              <w:textAlignment w:val="baseline"/>
              <w:rPr>
                <w:rFonts w:ascii="仿宋_GB2312" w:hAnsi="宋体" w:eastAsia="仿宋_GB2312"/>
                <w:color w:val="000000" w:themeColor="text1"/>
                <w:szCs w:val="28"/>
                <w:highlight w:val="none"/>
              </w:rPr>
            </w:pPr>
            <w:r>
              <w:rPr>
                <w:rFonts w:hint="eastAsia" w:ascii="仿宋_GB2312" w:hAnsi="宋体" w:eastAsia="仿宋_GB2312" w:cs="宋体"/>
                <w:color w:val="000000" w:themeColor="text1"/>
                <w:kern w:val="0"/>
                <w:szCs w:val="28"/>
                <w:highlight w:val="none"/>
              </w:rPr>
              <w:t>6.芯片协处理器提供硬件加密算法和硬件随机数发生器，支持对称体系的DES、3DES算法，非对称体系的RSA算法；</w:t>
            </w:r>
            <w:r>
              <w:rPr>
                <w:rFonts w:hint="eastAsia" w:ascii="仿宋_GB2312" w:eastAsia="仿宋_GB2312"/>
                <w:color w:val="000000" w:themeColor="text1"/>
                <w:szCs w:val="28"/>
                <w:highlight w:val="none"/>
              </w:rPr>
              <w:t>支持国密SM2、 SM3、 SM4等系列算法应用。</w:t>
            </w:r>
          </w:p>
          <w:p>
            <w:pPr>
              <w:adjustRightInd w:val="0"/>
              <w:spacing w:line="360" w:lineRule="auto"/>
              <w:ind w:firstLine="315" w:firstLineChars="150"/>
              <w:textAlignment w:val="baseline"/>
              <w:rPr>
                <w:rFonts w:ascii="仿宋_GB2312" w:hAnsi="宋体" w:eastAsia="仿宋_GB2312"/>
                <w:color w:val="000000" w:themeColor="text1"/>
                <w:szCs w:val="28"/>
                <w:highlight w:val="none"/>
              </w:rPr>
            </w:pPr>
            <w:r>
              <w:rPr>
                <w:rFonts w:hint="eastAsia" w:ascii="仿宋_GB2312" w:hAnsi="宋体" w:eastAsia="仿宋_GB2312" w:cs="宋体"/>
                <w:color w:val="000000" w:themeColor="text1"/>
                <w:kern w:val="0"/>
                <w:szCs w:val="28"/>
                <w:highlight w:val="none"/>
              </w:rPr>
              <w:t>7.卡片支持非对称密钥长度：512位～1984位且长度可变</w:t>
            </w:r>
          </w:p>
          <w:p>
            <w:pPr>
              <w:adjustRightInd w:val="0"/>
              <w:spacing w:line="360" w:lineRule="auto"/>
              <w:ind w:firstLine="315" w:firstLineChars="150"/>
              <w:textAlignment w:val="baseline"/>
              <w:rPr>
                <w:rFonts w:ascii="仿宋_GB2312" w:hAnsi="宋体" w:eastAsia="仿宋_GB2312"/>
                <w:color w:val="000000" w:themeColor="text1"/>
                <w:szCs w:val="28"/>
                <w:highlight w:val="none"/>
              </w:rPr>
            </w:pPr>
            <w:r>
              <w:rPr>
                <w:rFonts w:hint="eastAsia" w:ascii="仿宋_GB2312" w:hAnsi="宋体" w:eastAsia="仿宋_GB2312" w:cs="宋体"/>
                <w:color w:val="000000" w:themeColor="text1"/>
                <w:kern w:val="0"/>
                <w:szCs w:val="28"/>
                <w:highlight w:val="none"/>
              </w:rPr>
              <w:t>8.卡片支持多应用，可以在卡片中加载PBOC应用外的其他金融或者非金融行业应用。新应用的加载可以在制卡时完成，也可以在发卡后通过脚本完成。</w:t>
            </w:r>
          </w:p>
          <w:p>
            <w:pPr>
              <w:adjustRightInd w:val="0"/>
              <w:spacing w:line="360" w:lineRule="auto"/>
              <w:ind w:firstLine="315" w:firstLineChars="150"/>
              <w:textAlignment w:val="baseline"/>
              <w:rPr>
                <w:rFonts w:ascii="仿宋_GB2312" w:hAnsi="宋体" w:eastAsia="仿宋_GB2312" w:cs="宋体"/>
                <w:color w:val="000000" w:themeColor="text1"/>
                <w:kern w:val="0"/>
                <w:szCs w:val="28"/>
                <w:highlight w:val="none"/>
              </w:rPr>
            </w:pPr>
            <w:r>
              <w:rPr>
                <w:rFonts w:hint="eastAsia" w:ascii="仿宋_GB2312" w:hAnsi="宋体" w:eastAsia="仿宋_GB2312" w:cs="宋体"/>
                <w:color w:val="000000" w:themeColor="text1"/>
                <w:kern w:val="0"/>
                <w:szCs w:val="28"/>
                <w:highlight w:val="none"/>
              </w:rPr>
              <w:t>9.数据保存年限不少于10年</w:t>
            </w:r>
            <w:r>
              <w:rPr>
                <w:rFonts w:hint="eastAsia" w:ascii="仿宋_GB2312" w:hAnsi="宋体" w:eastAsia="仿宋_GB2312"/>
                <w:color w:val="000000" w:themeColor="text1"/>
                <w:szCs w:val="28"/>
                <w:highlight w:val="none"/>
              </w:rPr>
              <w:t>,</w:t>
            </w:r>
            <w:r>
              <w:rPr>
                <w:rFonts w:hint="eastAsia" w:ascii="仿宋_GB2312" w:hAnsi="宋体" w:eastAsia="仿宋_GB2312" w:cs="宋体"/>
                <w:color w:val="000000" w:themeColor="text1"/>
                <w:kern w:val="0"/>
                <w:szCs w:val="28"/>
                <w:highlight w:val="none"/>
              </w:rPr>
              <w:t>数据擦写次数不少于10万次</w:t>
            </w:r>
          </w:p>
          <w:p>
            <w:pPr>
              <w:adjustRightInd w:val="0"/>
              <w:spacing w:line="360" w:lineRule="auto"/>
              <w:ind w:firstLine="315" w:firstLineChars="150"/>
              <w:textAlignment w:val="baseline"/>
              <w:rPr>
                <w:rFonts w:ascii="仿宋_GB2312" w:hAnsi="宋体" w:eastAsia="仿宋_GB2312" w:cs="宋体"/>
                <w:color w:val="000000" w:themeColor="text1"/>
                <w:kern w:val="0"/>
                <w:szCs w:val="28"/>
                <w:highlight w:val="none"/>
              </w:rPr>
            </w:pPr>
            <w:r>
              <w:rPr>
                <w:rFonts w:hint="eastAsia" w:ascii="仿宋_GB2312" w:hAnsi="宋体" w:eastAsia="仿宋_GB2312" w:cs="宋体"/>
                <w:color w:val="000000" w:themeColor="text1"/>
                <w:kern w:val="0"/>
                <w:szCs w:val="28"/>
                <w:highlight w:val="none"/>
              </w:rPr>
              <w:t>10.进口芯片需通过CCEAL6+或以上安全认证，国产芯片需通过EAL4+或以上安全认证；</w:t>
            </w:r>
          </w:p>
          <w:p>
            <w:pPr>
              <w:adjustRightInd w:val="0"/>
              <w:spacing w:line="360" w:lineRule="auto"/>
              <w:ind w:firstLine="315" w:firstLineChars="150"/>
              <w:textAlignment w:val="baseline"/>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11.通过银行卡检测中心“PBOC3.0借记/贷记（支持小额支付）IC卡”检测；</w:t>
            </w:r>
          </w:p>
          <w:p>
            <w:pPr>
              <w:adjustRightInd w:val="0"/>
              <w:spacing w:line="360" w:lineRule="auto"/>
              <w:ind w:firstLine="315" w:firstLineChars="150"/>
              <w:textAlignment w:val="baseline"/>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12.通过银行卡检测中心“PBOC3.0非接触式QPBOC双币小额IC卡”检测；</w:t>
            </w:r>
          </w:p>
          <w:p>
            <w:pPr>
              <w:adjustRightInd w:val="0"/>
              <w:spacing w:line="360" w:lineRule="auto"/>
              <w:ind w:firstLine="315" w:firstLineChars="150"/>
              <w:textAlignment w:val="baseline"/>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13.通过银行卡检测中心“PBOC3.0基于非接触小额支付的扩展应用卡”检测；</w:t>
            </w:r>
          </w:p>
          <w:p>
            <w:pPr>
              <w:adjustRightInd w:val="0"/>
              <w:spacing w:line="360" w:lineRule="auto"/>
              <w:ind w:firstLine="315" w:firstLineChars="150"/>
              <w:textAlignment w:val="baseline"/>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14.国产芯片具有国家商用密码管理局芯片安全（二级）认证资质；</w:t>
            </w:r>
          </w:p>
          <w:p>
            <w:pPr>
              <w:adjustRightInd w:val="0"/>
              <w:spacing w:line="360" w:lineRule="auto"/>
              <w:ind w:firstLine="315" w:firstLineChars="150"/>
              <w:textAlignment w:val="baseline"/>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15.具有银联卡芯片产品安全认证证书；</w:t>
            </w:r>
          </w:p>
          <w:p>
            <w:pPr>
              <w:adjustRightInd w:val="0"/>
              <w:spacing w:line="360" w:lineRule="auto"/>
              <w:ind w:firstLine="315" w:firstLineChars="150"/>
              <w:textAlignment w:val="baseline"/>
              <w:rPr>
                <w:rFonts w:ascii="仿宋_GB2312" w:hAnsi="宋体" w:eastAsia="仿宋_GB2312"/>
                <w:b/>
                <w:color w:val="000000" w:themeColor="text1"/>
                <w:szCs w:val="28"/>
                <w:highlight w:val="none"/>
              </w:rPr>
            </w:pPr>
            <w:r>
              <w:rPr>
                <w:rFonts w:hint="eastAsia" w:ascii="仿宋_GB2312" w:hAnsi="宋体" w:eastAsia="仿宋_GB2312"/>
                <w:color w:val="000000" w:themeColor="text1"/>
                <w:szCs w:val="28"/>
                <w:highlight w:val="none"/>
              </w:rPr>
              <w:t>16.带</w:t>
            </w:r>
            <w:r>
              <w:rPr>
                <w:rFonts w:hint="eastAsia" w:ascii="仿宋_GB2312" w:hAnsi="宋体" w:eastAsia="仿宋_GB2312" w:cs="Arial"/>
                <w:color w:val="000000" w:themeColor="text1"/>
                <w:szCs w:val="28"/>
                <w:highlight w:val="none"/>
              </w:rPr>
              <w:t>Mifare1</w:t>
            </w:r>
            <w:r>
              <w:rPr>
                <w:rFonts w:hint="eastAsia" w:ascii="仿宋_GB2312" w:hAnsi="宋体" w:eastAsia="仿宋_GB2312"/>
                <w:color w:val="000000" w:themeColor="text1"/>
                <w:szCs w:val="28"/>
                <w:highlight w:val="none"/>
              </w:rPr>
              <w:t>卡功能；</w:t>
            </w:r>
            <w:r>
              <w:rPr>
                <w:rFonts w:hint="eastAsia" w:ascii="仿宋_GB2312" w:hAnsi="宋体" w:eastAsia="仿宋_GB2312"/>
                <w:b/>
                <w:color w:val="000000" w:themeColor="text1"/>
                <w:szCs w:val="28"/>
                <w:highlight w:val="none"/>
              </w:rPr>
              <w:t xml:space="preserve"> </w:t>
            </w:r>
          </w:p>
          <w:p>
            <w:pPr>
              <w:adjustRightInd w:val="0"/>
              <w:spacing w:line="360" w:lineRule="auto"/>
              <w:ind w:firstLine="315" w:firstLineChars="150"/>
              <w:textAlignment w:val="baseline"/>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17.支持二次个人化；能够二次个人化电子钱包或其它应用；</w:t>
            </w:r>
          </w:p>
          <w:p>
            <w:pPr>
              <w:adjustRightInd w:val="0"/>
              <w:spacing w:line="360" w:lineRule="auto"/>
              <w:ind w:firstLine="315" w:firstLineChars="150"/>
              <w:textAlignment w:val="baseline"/>
              <w:rPr>
                <w:rFonts w:ascii="仿宋_GB2312" w:eastAsia="仿宋_GB2312"/>
                <w:color w:val="000000" w:themeColor="text1"/>
                <w:szCs w:val="28"/>
                <w:highlight w:val="none"/>
              </w:rPr>
            </w:pPr>
            <w:r>
              <w:rPr>
                <w:rFonts w:hint="eastAsia" w:ascii="仿宋_GB2312" w:eastAsia="仿宋_GB2312"/>
                <w:color w:val="000000" w:themeColor="text1"/>
                <w:szCs w:val="28"/>
                <w:highlight w:val="none"/>
              </w:rPr>
              <w:t>18.芯片和嵌入式软件必须通过银联安全认证和检测；</w:t>
            </w:r>
          </w:p>
          <w:p>
            <w:pPr>
              <w:adjustRightInd w:val="0"/>
              <w:spacing w:line="360" w:lineRule="auto"/>
              <w:ind w:firstLine="315" w:firstLineChars="150"/>
              <w:textAlignment w:val="baseline"/>
              <w:rPr>
                <w:rFonts w:ascii="Times New Roman" w:hAnsi="Times New Roman" w:eastAsia="宋体" w:cs="Times New Roman"/>
                <w:color w:val="000000" w:themeColor="text1"/>
                <w:szCs w:val="21"/>
                <w:highlight w:val="none"/>
              </w:rPr>
            </w:pPr>
            <w:r>
              <w:rPr>
                <w:rFonts w:hint="eastAsia" w:ascii="仿宋_GB2312" w:eastAsia="仿宋_GB2312"/>
                <w:color w:val="000000" w:themeColor="text1"/>
                <w:szCs w:val="28"/>
                <w:highlight w:val="none"/>
              </w:rPr>
              <w:t>19、国产芯片支持国密SM2、 SM3、 SM4等系列算法应用。</w:t>
            </w:r>
          </w:p>
        </w:tc>
        <w:tc>
          <w:tcPr>
            <w:tcW w:w="699" w:type="dxa"/>
            <w:vAlign w:val="center"/>
          </w:tcPr>
          <w:p>
            <w:pPr>
              <w:rPr>
                <w:rFonts w:ascii="Times New Roman" w:hAnsi="Times New Roman" w:eastAsia="宋体" w:cs="Times New Roman"/>
                <w:b/>
                <w:color w:val="000000" w:themeColor="text1"/>
                <w:szCs w:val="21"/>
                <w:highlight w:val="none"/>
              </w:rPr>
            </w:pPr>
          </w:p>
        </w:tc>
        <w:tc>
          <w:tcPr>
            <w:tcW w:w="1351" w:type="dxa"/>
            <w:vAlign w:val="center"/>
          </w:tcPr>
          <w:p>
            <w:pPr>
              <w:rPr>
                <w:rFonts w:ascii="Times New Roman" w:hAnsi="Times New Roman" w:eastAsia="宋体" w:cs="Times New Roman"/>
                <w:b/>
                <w:color w:val="000000" w:themeColor="text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5" w:hRule="atLeast"/>
        </w:trPr>
        <w:tc>
          <w:tcPr>
            <w:tcW w:w="403" w:type="dxa"/>
            <w:vAlign w:val="center"/>
          </w:tcPr>
          <w:p>
            <w:pPr>
              <w:tabs>
                <w:tab w:val="left" w:pos="1050"/>
                <w:tab w:val="left" w:pos="1470"/>
              </w:tabs>
              <w:rPr>
                <w:color w:val="000000" w:themeColor="text1"/>
                <w:highlight w:val="none"/>
              </w:rPr>
            </w:pPr>
            <w:r>
              <w:rPr>
                <w:rFonts w:ascii="Times New Roman" w:hAnsi="Times New Roman" w:eastAsia="宋体" w:cs="Times New Roman"/>
                <w:bCs/>
                <w:color w:val="000000" w:themeColor="text1"/>
                <w:szCs w:val="21"/>
                <w:highlight w:val="none"/>
              </w:rPr>
              <w:t>2</w:t>
            </w:r>
          </w:p>
        </w:tc>
        <w:tc>
          <w:tcPr>
            <w:tcW w:w="7307" w:type="dxa"/>
            <w:vAlign w:val="center"/>
          </w:tcPr>
          <w:p>
            <w:pPr>
              <w:adjustRightInd w:val="0"/>
              <w:spacing w:line="360" w:lineRule="auto"/>
              <w:textAlignment w:val="baseline"/>
              <w:rPr>
                <w:rFonts w:ascii="仿宋_GB2312" w:eastAsia="仿宋_GB2312"/>
                <w:b/>
                <w:color w:val="000000" w:themeColor="text1"/>
                <w:sz w:val="24"/>
                <w:szCs w:val="36"/>
                <w:highlight w:val="none"/>
              </w:rPr>
            </w:pPr>
            <w:r>
              <w:rPr>
                <w:rFonts w:hint="eastAsia" w:ascii="仿宋_GB2312" w:eastAsia="仿宋_GB2312"/>
                <w:b/>
                <w:color w:val="000000" w:themeColor="text1"/>
                <w:sz w:val="24"/>
                <w:szCs w:val="36"/>
                <w:highlight w:val="none"/>
              </w:rPr>
              <w:t>操作系统要求</w:t>
            </w:r>
          </w:p>
          <w:p>
            <w:pPr>
              <w:adjustRightInd w:val="0"/>
              <w:spacing w:line="360" w:lineRule="auto"/>
              <w:textAlignment w:val="baseline"/>
              <w:rPr>
                <w:rFonts w:ascii="仿宋_GB2312" w:eastAsia="仿宋_GB2312"/>
                <w:b/>
                <w:color w:val="000000" w:themeColor="text1"/>
                <w:sz w:val="24"/>
                <w:szCs w:val="36"/>
                <w:highlight w:val="none"/>
              </w:rPr>
            </w:pPr>
          </w:p>
          <w:p>
            <w:pPr>
              <w:adjustRightInd w:val="0"/>
              <w:spacing w:line="360" w:lineRule="auto"/>
              <w:ind w:firstLine="315" w:firstLineChars="150"/>
              <w:textAlignment w:val="baseline"/>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1. 操作系统自主开发且具有兼容性，兼容支持所报送多应用；</w:t>
            </w:r>
          </w:p>
          <w:p>
            <w:pPr>
              <w:adjustRightInd w:val="0"/>
              <w:spacing w:line="360" w:lineRule="auto"/>
              <w:ind w:firstLine="315" w:firstLineChars="150"/>
              <w:textAlignment w:val="baseline"/>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2. 通过</w:t>
            </w:r>
            <w:r>
              <w:rPr>
                <w:rFonts w:ascii="仿宋_GB2312" w:hAnsi="宋体" w:eastAsia="仿宋_GB2312"/>
                <w:color w:val="000000" w:themeColor="text1"/>
                <w:szCs w:val="28"/>
                <w:highlight w:val="none"/>
              </w:rPr>
              <w:t>银联芯片卡嵌入式软件安全测试</w:t>
            </w:r>
            <w:r>
              <w:rPr>
                <w:rFonts w:hint="eastAsia" w:ascii="仿宋_GB2312" w:hAnsi="宋体" w:eastAsia="仿宋_GB2312"/>
                <w:color w:val="000000" w:themeColor="text1"/>
                <w:szCs w:val="28"/>
                <w:highlight w:val="none"/>
              </w:rPr>
              <w:t>；</w:t>
            </w:r>
          </w:p>
          <w:p>
            <w:pPr>
              <w:adjustRightInd w:val="0"/>
              <w:spacing w:line="360" w:lineRule="auto"/>
              <w:ind w:firstLine="315" w:firstLineChars="150"/>
              <w:textAlignment w:val="baseline"/>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3．提供</w:t>
            </w:r>
            <w:r>
              <w:rPr>
                <w:rFonts w:ascii="仿宋_GB2312" w:hAnsi="宋体" w:eastAsia="仿宋_GB2312"/>
                <w:color w:val="000000" w:themeColor="text1"/>
                <w:szCs w:val="28"/>
                <w:highlight w:val="none"/>
              </w:rPr>
              <w:t>Java技术授权合同</w:t>
            </w:r>
            <w:r>
              <w:rPr>
                <w:rFonts w:hint="eastAsia" w:ascii="仿宋_GB2312" w:hAnsi="宋体" w:eastAsia="仿宋_GB2312"/>
                <w:color w:val="000000" w:themeColor="text1"/>
                <w:szCs w:val="28"/>
                <w:highlight w:val="none"/>
              </w:rPr>
              <w:t>；</w:t>
            </w:r>
          </w:p>
          <w:p>
            <w:pPr>
              <w:adjustRightInd w:val="0"/>
              <w:spacing w:line="360" w:lineRule="auto"/>
              <w:ind w:firstLine="315" w:firstLineChars="150"/>
              <w:textAlignment w:val="baseline"/>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4.</w:t>
            </w:r>
            <w:r>
              <w:rPr>
                <w:rFonts w:ascii="仿宋_GB2312" w:hAnsi="宋体" w:eastAsia="仿宋_GB2312"/>
                <w:color w:val="000000" w:themeColor="text1"/>
                <w:szCs w:val="28"/>
                <w:highlight w:val="none"/>
              </w:rPr>
              <w:t xml:space="preserve"> </w:t>
            </w:r>
            <w:r>
              <w:rPr>
                <w:rFonts w:hint="eastAsia" w:ascii="仿宋_GB2312" w:hAnsi="宋体" w:eastAsia="仿宋_GB2312"/>
                <w:color w:val="000000" w:themeColor="text1"/>
                <w:szCs w:val="28"/>
                <w:highlight w:val="none"/>
              </w:rPr>
              <w:t>提供</w:t>
            </w:r>
            <w:r>
              <w:rPr>
                <w:rFonts w:ascii="仿宋_GB2312" w:hAnsi="宋体" w:eastAsia="仿宋_GB2312"/>
                <w:color w:val="000000" w:themeColor="text1"/>
                <w:szCs w:val="28"/>
                <w:highlight w:val="none"/>
              </w:rPr>
              <w:t>Java Card技术支持合同</w:t>
            </w:r>
            <w:r>
              <w:rPr>
                <w:rFonts w:hint="eastAsia" w:ascii="仿宋_GB2312" w:hAnsi="宋体" w:eastAsia="仿宋_GB2312"/>
                <w:color w:val="000000" w:themeColor="text1"/>
                <w:szCs w:val="28"/>
                <w:highlight w:val="none"/>
              </w:rPr>
              <w:t>；</w:t>
            </w:r>
          </w:p>
          <w:p>
            <w:pPr>
              <w:adjustRightInd w:val="0"/>
              <w:spacing w:line="360" w:lineRule="auto"/>
              <w:ind w:firstLine="315" w:firstLineChars="150"/>
              <w:textAlignment w:val="baseline"/>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5.</w:t>
            </w:r>
            <w:r>
              <w:rPr>
                <w:rFonts w:ascii="仿宋_GB2312" w:hAnsi="宋体" w:eastAsia="仿宋_GB2312"/>
                <w:color w:val="000000" w:themeColor="text1"/>
                <w:szCs w:val="28"/>
                <w:highlight w:val="none"/>
              </w:rPr>
              <w:t xml:space="preserve"> </w:t>
            </w:r>
            <w:r>
              <w:rPr>
                <w:rFonts w:hint="eastAsia" w:ascii="仿宋_GB2312" w:hAnsi="宋体" w:eastAsia="仿宋_GB2312"/>
                <w:color w:val="000000" w:themeColor="text1"/>
                <w:szCs w:val="28"/>
                <w:highlight w:val="none"/>
              </w:rPr>
              <w:t>提供</w:t>
            </w:r>
            <w:r>
              <w:rPr>
                <w:rFonts w:ascii="仿宋_GB2312" w:hAnsi="宋体" w:eastAsia="仿宋_GB2312"/>
                <w:color w:val="000000" w:themeColor="text1"/>
                <w:szCs w:val="28"/>
                <w:highlight w:val="none"/>
              </w:rPr>
              <w:t>Java Logo的使用授权</w:t>
            </w:r>
            <w:r>
              <w:rPr>
                <w:rFonts w:hint="eastAsia" w:ascii="仿宋_GB2312" w:hAnsi="宋体" w:eastAsia="仿宋_GB2312"/>
                <w:color w:val="000000" w:themeColor="text1"/>
                <w:szCs w:val="28"/>
                <w:highlight w:val="none"/>
              </w:rPr>
              <w:t>；</w:t>
            </w:r>
          </w:p>
          <w:p>
            <w:pPr>
              <w:adjustRightInd w:val="0"/>
              <w:spacing w:line="360" w:lineRule="auto"/>
              <w:ind w:firstLine="315" w:firstLineChars="150"/>
              <w:textAlignment w:val="baseline"/>
              <w:rPr>
                <w:rFonts w:ascii="Times New Roman" w:hAnsi="Times New Roman" w:eastAsia="宋体" w:cs="Times New Roman"/>
                <w:color w:val="000000" w:themeColor="text1"/>
                <w:szCs w:val="21"/>
                <w:highlight w:val="none"/>
              </w:rPr>
            </w:pPr>
            <w:r>
              <w:rPr>
                <w:rFonts w:hint="eastAsia" w:ascii="仿宋_GB2312" w:hAnsi="宋体" w:eastAsia="仿宋_GB2312"/>
                <w:color w:val="000000" w:themeColor="text1"/>
                <w:szCs w:val="28"/>
                <w:highlight w:val="none"/>
              </w:rPr>
              <w:t>6、通过操作系统GP组织认证。</w:t>
            </w:r>
          </w:p>
        </w:tc>
        <w:tc>
          <w:tcPr>
            <w:tcW w:w="699" w:type="dxa"/>
            <w:vAlign w:val="center"/>
          </w:tcPr>
          <w:p>
            <w:pPr>
              <w:rPr>
                <w:rFonts w:ascii="Times New Roman" w:hAnsi="Times New Roman" w:eastAsia="宋体" w:cs="Times New Roman"/>
                <w:color w:val="000000" w:themeColor="text1"/>
                <w:szCs w:val="21"/>
                <w:highlight w:val="none"/>
              </w:rPr>
            </w:pPr>
          </w:p>
        </w:tc>
        <w:tc>
          <w:tcPr>
            <w:tcW w:w="1351" w:type="dxa"/>
            <w:vAlign w:val="center"/>
          </w:tcPr>
          <w:p>
            <w:pPr>
              <w:rPr>
                <w:rFonts w:ascii="Times New Roman" w:hAnsi="Times New Roman" w:eastAsia="宋体" w:cs="Times New Roman"/>
                <w:color w:val="000000" w:themeColor="text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5" w:hRule="atLeast"/>
        </w:trPr>
        <w:tc>
          <w:tcPr>
            <w:tcW w:w="403" w:type="dxa"/>
            <w:vAlign w:val="center"/>
          </w:tcPr>
          <w:p>
            <w:pPr>
              <w:tabs>
                <w:tab w:val="left" w:pos="1050"/>
                <w:tab w:val="left" w:pos="1470"/>
              </w:tabs>
              <w:rPr>
                <w:color w:val="000000" w:themeColor="text1"/>
                <w:highlight w:val="none"/>
              </w:rPr>
            </w:pPr>
            <w:r>
              <w:rPr>
                <w:rFonts w:hint="eastAsia" w:ascii="Times New Roman" w:hAnsi="Times New Roman" w:eastAsia="宋体" w:cs="Times New Roman"/>
                <w:color w:val="000000" w:themeColor="text1"/>
                <w:szCs w:val="21"/>
                <w:highlight w:val="none"/>
              </w:rPr>
              <w:t>3</w:t>
            </w:r>
          </w:p>
        </w:tc>
        <w:tc>
          <w:tcPr>
            <w:tcW w:w="7307" w:type="dxa"/>
            <w:vAlign w:val="center"/>
          </w:tcPr>
          <w:p>
            <w:pPr>
              <w:pStyle w:val="25"/>
              <w:rPr>
                <w:rFonts w:ascii="仿宋_GB2312" w:eastAsia="仿宋_GB2312"/>
                <w:b/>
                <w:color w:val="000000" w:themeColor="text1"/>
                <w:sz w:val="24"/>
                <w:szCs w:val="28"/>
                <w:highlight w:val="none"/>
              </w:rPr>
            </w:pPr>
            <w:r>
              <w:rPr>
                <w:rFonts w:hint="eastAsia" w:ascii="仿宋_GB2312" w:eastAsia="仿宋_GB2312"/>
                <w:b/>
                <w:color w:val="000000" w:themeColor="text1"/>
                <w:sz w:val="24"/>
                <w:szCs w:val="28"/>
                <w:highlight w:val="none"/>
              </w:rPr>
              <w:t>卡体技术指标要求</w:t>
            </w:r>
          </w:p>
          <w:p>
            <w:pPr>
              <w:pStyle w:val="25"/>
              <w:rPr>
                <w:rFonts w:ascii="仿宋_GB2312" w:eastAsia="仿宋_GB2312"/>
                <w:b/>
                <w:color w:val="000000" w:themeColor="text1"/>
                <w:sz w:val="24"/>
                <w:szCs w:val="28"/>
                <w:highlight w:val="none"/>
              </w:rPr>
            </w:pPr>
          </w:p>
          <w:p>
            <w:pPr>
              <w:pStyle w:val="25"/>
              <w:ind w:firstLine="420" w:firstLineChars="20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1．卡基材质均要求采用优质PVC材料。</w:t>
            </w:r>
          </w:p>
          <w:p>
            <w:pPr>
              <w:pStyle w:val="25"/>
              <w:ind w:firstLine="420" w:firstLineChars="200"/>
              <w:rPr>
                <w:rFonts w:ascii="仿宋_GB2312" w:hAnsi="宋体" w:eastAsia="仿宋_GB2312"/>
                <w:b/>
                <w:color w:val="000000" w:themeColor="text1"/>
                <w:szCs w:val="28"/>
                <w:highlight w:val="none"/>
              </w:rPr>
            </w:pPr>
            <w:r>
              <w:rPr>
                <w:rFonts w:hint="eastAsia" w:ascii="仿宋_GB2312" w:hAnsi="宋体" w:eastAsia="仿宋_GB2312"/>
                <w:color w:val="000000" w:themeColor="text1"/>
                <w:szCs w:val="28"/>
                <w:highlight w:val="none"/>
              </w:rPr>
              <w:t>2．卡体要求</w:t>
            </w:r>
          </w:p>
          <w:p>
            <w:pPr>
              <w:pStyle w:val="25"/>
              <w:ind w:firstLine="420" w:firstLineChars="20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符合ISO7816-1&amp;2的参考标准，卡体尺寸符合</w:t>
            </w:r>
            <w:r>
              <w:rPr>
                <w:rFonts w:hint="eastAsia" w:ascii="仿宋_GB2312" w:hAnsi="宋体" w:eastAsia="仿宋_GB2312"/>
                <w:b/>
                <w:color w:val="000000" w:themeColor="text1"/>
                <w:szCs w:val="28"/>
                <w:highlight w:val="none"/>
              </w:rPr>
              <w:t>《中国金融集成电路(IC)卡规范 V3.0》</w:t>
            </w:r>
            <w:r>
              <w:rPr>
                <w:rFonts w:hint="eastAsia" w:ascii="仿宋_GB2312" w:hAnsi="宋体" w:eastAsia="仿宋_GB2312"/>
                <w:color w:val="000000" w:themeColor="text1"/>
                <w:szCs w:val="28"/>
                <w:highlight w:val="none"/>
              </w:rPr>
              <w:t xml:space="preserve">所规定的尺寸。 </w:t>
            </w:r>
          </w:p>
          <w:p>
            <w:pPr>
              <w:pStyle w:val="25"/>
              <w:ind w:firstLine="420" w:firstLineChars="20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片基85.47mm≤长度≤85.72mm，53.92mm≤宽度≤54.03mm；</w:t>
            </w:r>
          </w:p>
          <w:p>
            <w:pPr>
              <w:pStyle w:val="25"/>
              <w:ind w:firstLine="420" w:firstLineChars="20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导角：3.18mm的圆弧；</w:t>
            </w:r>
          </w:p>
          <w:p>
            <w:pPr>
              <w:pStyle w:val="25"/>
              <w:ind w:firstLine="420" w:firstLineChars="20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厚度：0.76mm≤厚度≤0.84mm。</w:t>
            </w:r>
          </w:p>
          <w:p>
            <w:pPr>
              <w:pStyle w:val="25"/>
              <w:ind w:firstLine="420" w:firstLineChars="20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卡体边沿：卡体的边沿光滑，毛剌小于0.08mm；</w:t>
            </w:r>
          </w:p>
          <w:p>
            <w:pPr>
              <w:pStyle w:val="25"/>
              <w:ind w:firstLine="420" w:firstLineChars="20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卡体表面透明覆膜；</w:t>
            </w:r>
          </w:p>
          <w:p>
            <w:pPr>
              <w:pStyle w:val="25"/>
              <w:ind w:firstLine="420" w:firstLineChars="20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卡体复合强度：卡片的卡基、热合透明膜应复合良好，卡片没有起层、气泡、剥离等现象。</w:t>
            </w:r>
          </w:p>
          <w:p>
            <w:pPr>
              <w:pStyle w:val="25"/>
              <w:ind w:firstLine="420" w:firstLineChars="20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外观：卡片外观没有明显变形、凹凸不平，卡片上没有孔、坑、损伤、破裂、划伤、磨毛、热合亮斑等；</w:t>
            </w:r>
          </w:p>
          <w:p>
            <w:pPr>
              <w:pStyle w:val="25"/>
              <w:ind w:firstLine="420" w:firstLineChars="20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卡片没有3个以上尘点、墨点、气泡、杂质等异常斑点或异物；</w:t>
            </w:r>
          </w:p>
          <w:p>
            <w:pPr>
              <w:pStyle w:val="25"/>
              <w:ind w:firstLine="420" w:firstLineChars="20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卡片凸码烫金、银牢固不掉色；</w:t>
            </w:r>
          </w:p>
          <w:p>
            <w:pPr>
              <w:pStyle w:val="25"/>
              <w:ind w:firstLine="420" w:firstLineChars="20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卡片平直。</w:t>
            </w:r>
          </w:p>
          <w:p>
            <w:pPr>
              <w:pStyle w:val="25"/>
              <w:ind w:firstLine="420" w:firstLineChars="20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3.外观要求如下：</w:t>
            </w:r>
          </w:p>
          <w:tbl>
            <w:tblPr>
              <w:tblStyle w:val="55"/>
              <w:tblW w:w="6893" w:type="dxa"/>
              <w:jc w:val="center"/>
              <w:tblInd w:w="15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2"/>
              <w:gridCol w:w="6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jc w:val="center"/>
              </w:trPr>
              <w:tc>
                <w:tcPr>
                  <w:tcW w:w="692" w:type="dxa"/>
                  <w:vAlign w:val="bottom"/>
                </w:tcPr>
                <w:p>
                  <w:pPr>
                    <w:pStyle w:val="25"/>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项目</w:t>
                  </w:r>
                </w:p>
              </w:tc>
              <w:tc>
                <w:tcPr>
                  <w:tcW w:w="6201" w:type="dxa"/>
                  <w:vAlign w:val="bottom"/>
                </w:tcPr>
                <w:p>
                  <w:pPr>
                    <w:pStyle w:val="25"/>
                    <w:ind w:firstLine="420" w:firstLineChars="200"/>
                    <w:jc w:val="center"/>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标   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2" w:type="dxa"/>
                  <w:vAlign w:val="bottom"/>
                </w:tcPr>
                <w:p>
                  <w:pPr>
                    <w:pStyle w:val="25"/>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光洁</w:t>
                  </w:r>
                </w:p>
              </w:tc>
              <w:tc>
                <w:tcPr>
                  <w:tcW w:w="6201" w:type="dxa"/>
                  <w:vAlign w:val="bottom"/>
                </w:tcPr>
                <w:p>
                  <w:pPr>
                    <w:pStyle w:val="25"/>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无气泡、凹凸点及脏污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2" w:type="dxa"/>
                  <w:vAlign w:val="bottom"/>
                </w:tcPr>
                <w:p>
                  <w:pPr>
                    <w:pStyle w:val="25"/>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黑点</w:t>
                  </w:r>
                </w:p>
              </w:tc>
              <w:tc>
                <w:tcPr>
                  <w:tcW w:w="6201" w:type="dxa"/>
                  <w:vAlign w:val="bottom"/>
                </w:tcPr>
                <w:p>
                  <w:pPr>
                    <w:pStyle w:val="25"/>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直径＞0.2</w:t>
                  </w:r>
                  <w:r>
                    <w:rPr>
                      <w:rFonts w:hint="eastAsia" w:ascii="仿宋_GB2312" w:hAnsi="宋体"/>
                      <w:color w:val="000000" w:themeColor="text1"/>
                      <w:szCs w:val="28"/>
                      <w:highlight w:val="none"/>
                    </w:rPr>
                    <w:t>㎜</w:t>
                  </w:r>
                  <w:r>
                    <w:rPr>
                      <w:rFonts w:hint="eastAsia" w:ascii="仿宋_GB2312" w:hAnsi="宋体" w:eastAsia="仿宋_GB2312"/>
                      <w:color w:val="000000" w:themeColor="text1"/>
                      <w:szCs w:val="28"/>
                      <w:highlight w:val="none"/>
                    </w:rPr>
                    <w:t>的不明显黑点：正面不超过1个；反面不超过2个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2" w:type="dxa"/>
                  <w:vAlign w:val="bottom"/>
                </w:tcPr>
                <w:p>
                  <w:pPr>
                    <w:pStyle w:val="25"/>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杂物</w:t>
                  </w:r>
                </w:p>
              </w:tc>
              <w:tc>
                <w:tcPr>
                  <w:tcW w:w="6201" w:type="dxa"/>
                  <w:vAlign w:val="bottom"/>
                </w:tcPr>
                <w:p>
                  <w:pPr>
                    <w:pStyle w:val="25"/>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长度＞0.5</w:t>
                  </w:r>
                  <w:r>
                    <w:rPr>
                      <w:rFonts w:hint="eastAsia" w:ascii="仿宋_GB2312" w:hAnsi="宋体"/>
                      <w:color w:val="000000" w:themeColor="text1"/>
                      <w:szCs w:val="28"/>
                      <w:highlight w:val="none"/>
                    </w:rPr>
                    <w:t>㎜</w:t>
                  </w:r>
                  <w:r>
                    <w:rPr>
                      <w:rFonts w:hint="eastAsia" w:ascii="仿宋_GB2312" w:hAnsi="宋体" w:eastAsia="仿宋_GB2312"/>
                      <w:color w:val="000000" w:themeColor="text1"/>
                      <w:szCs w:val="28"/>
                      <w:highlight w:val="none"/>
                    </w:rPr>
                    <w:t>的细小杂质纤维：正面不超过1个；反面不超过2个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2" w:type="dxa"/>
                  <w:vAlign w:val="bottom"/>
                </w:tcPr>
                <w:p>
                  <w:pPr>
                    <w:pStyle w:val="25"/>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色斑</w:t>
                  </w:r>
                </w:p>
              </w:tc>
              <w:tc>
                <w:tcPr>
                  <w:tcW w:w="6201" w:type="dxa"/>
                  <w:vAlign w:val="bottom"/>
                </w:tcPr>
                <w:p>
                  <w:pPr>
                    <w:pStyle w:val="25"/>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直径＞0.5</w:t>
                  </w:r>
                  <w:r>
                    <w:rPr>
                      <w:rFonts w:hint="eastAsia" w:ascii="仿宋_GB2312" w:hAnsi="宋体"/>
                      <w:color w:val="000000" w:themeColor="text1"/>
                      <w:szCs w:val="28"/>
                      <w:highlight w:val="none"/>
                    </w:rPr>
                    <w:t>㎜</w:t>
                  </w:r>
                  <w:r>
                    <w:rPr>
                      <w:rFonts w:hint="eastAsia" w:ascii="仿宋_GB2312" w:hAnsi="宋体" w:eastAsia="仿宋_GB2312"/>
                      <w:color w:val="000000" w:themeColor="text1"/>
                      <w:szCs w:val="28"/>
                      <w:highlight w:val="none"/>
                    </w:rPr>
                    <w:t>杂色斑：正反面不允许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2" w:type="dxa"/>
                  <w:vAlign w:val="bottom"/>
                </w:tcPr>
                <w:p>
                  <w:pPr>
                    <w:pStyle w:val="25"/>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划痕</w:t>
                  </w:r>
                </w:p>
              </w:tc>
              <w:tc>
                <w:tcPr>
                  <w:tcW w:w="6201" w:type="dxa"/>
                  <w:vAlign w:val="bottom"/>
                </w:tcPr>
                <w:p>
                  <w:pPr>
                    <w:pStyle w:val="25"/>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长度＞5</w:t>
                  </w:r>
                  <w:r>
                    <w:rPr>
                      <w:rFonts w:hint="eastAsia" w:ascii="仿宋_GB2312" w:hAnsi="宋体"/>
                      <w:color w:val="000000" w:themeColor="text1"/>
                      <w:szCs w:val="28"/>
                      <w:highlight w:val="none"/>
                    </w:rPr>
                    <w:t>㎜</w:t>
                  </w:r>
                  <w:r>
                    <w:rPr>
                      <w:rFonts w:hint="eastAsia" w:ascii="仿宋_GB2312" w:hAnsi="宋体" w:eastAsia="仿宋_GB2312"/>
                      <w:color w:val="000000" w:themeColor="text1"/>
                      <w:szCs w:val="28"/>
                      <w:highlight w:val="none"/>
                    </w:rPr>
                    <w:t>的细划痕：不超过2条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2" w:type="dxa"/>
                  <w:vAlign w:val="bottom"/>
                </w:tcPr>
                <w:p>
                  <w:pPr>
                    <w:pStyle w:val="25"/>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色差</w:t>
                  </w:r>
                </w:p>
              </w:tc>
              <w:tc>
                <w:tcPr>
                  <w:tcW w:w="6201" w:type="dxa"/>
                  <w:vAlign w:val="bottom"/>
                </w:tcPr>
                <w:p>
                  <w:pPr>
                    <w:pStyle w:val="25"/>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不超出±5 %</w:t>
                  </w:r>
                </w:p>
              </w:tc>
            </w:tr>
          </w:tbl>
          <w:p>
            <w:pPr>
              <w:pStyle w:val="25"/>
              <w:ind w:firstLine="420" w:firstLineChars="20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4．卡体印刷要求</w:t>
            </w:r>
          </w:p>
          <w:p>
            <w:pPr>
              <w:pStyle w:val="25"/>
              <w:ind w:firstLine="420" w:firstLineChars="20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（1）色彩：卡片的图案和颜色应以设计原稿样卡为准，复制真实、自然，且同一产品不同批次生产的卡片，差值小于3.5ΔE*ab单位。</w:t>
            </w:r>
          </w:p>
          <w:p>
            <w:pPr>
              <w:pStyle w:val="25"/>
              <w:ind w:firstLine="420" w:firstLineChars="20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2）印刷：印刷没有内容错误、漏印刷、印刷图案或字符方向错误、印刷位置错误的问题；印刷表面没有明显色斑、条纹，图案或字符有明显重影、毛剌或缺损；卡片的图案和文字符号及印刷式样可根据客户要求设计；卡经覆膜处理后，图案精美、色泽鲜艳、表面耐磨，在正常应用情况下，图案不褪色、不剥落；</w:t>
            </w:r>
          </w:p>
          <w:p>
            <w:pPr>
              <w:pStyle w:val="25"/>
              <w:ind w:firstLine="420" w:firstLineChars="20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（3）插卡最高次数、使用最长年限和正常坏损率符合行业常规要求；</w:t>
            </w:r>
          </w:p>
          <w:p>
            <w:pPr>
              <w:pStyle w:val="25"/>
              <w:ind w:firstLine="420" w:firstLineChars="20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（4）卡片机电特性要求</w:t>
            </w:r>
          </w:p>
          <w:p>
            <w:pPr>
              <w:pStyle w:val="25"/>
              <w:ind w:firstLine="420" w:firstLineChars="20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卡片的机械特性、电气特性要符合</w:t>
            </w:r>
            <w:r>
              <w:rPr>
                <w:rFonts w:hint="eastAsia" w:ascii="仿宋_GB2312" w:hAnsi="宋体" w:eastAsia="仿宋_GB2312"/>
                <w:b/>
                <w:color w:val="000000" w:themeColor="text1"/>
                <w:szCs w:val="28"/>
                <w:highlight w:val="none"/>
              </w:rPr>
              <w:t>《中国金融集成电路(IC)卡规范 V3.0》</w:t>
            </w:r>
            <w:r>
              <w:rPr>
                <w:rFonts w:hint="eastAsia" w:ascii="仿宋_GB2312" w:hAnsi="宋体" w:eastAsia="仿宋_GB2312"/>
                <w:color w:val="000000" w:themeColor="text1"/>
                <w:szCs w:val="28"/>
                <w:highlight w:val="none"/>
              </w:rPr>
              <w:t>，遵从ISO/IEC7816系列标准。卡的弯曲翘曲符合国家标准，抗弯折和扭曲性能：符合ISO14443的测试标准，卡片动态扭曲达到1000次，卡片动态弯曲达到1000次，卡片的层间剥离强度符合国家标准。</w:t>
            </w:r>
          </w:p>
          <w:p>
            <w:pPr>
              <w:pStyle w:val="25"/>
              <w:ind w:firstLine="420" w:firstLineChars="20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主要指标如下：</w:t>
            </w:r>
          </w:p>
          <w:p>
            <w:pPr>
              <w:pStyle w:val="25"/>
              <w:ind w:firstLine="420" w:firstLineChars="20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①模块高度</w:t>
            </w:r>
          </w:p>
          <w:p>
            <w:pPr>
              <w:pStyle w:val="25"/>
              <w:ind w:firstLine="420" w:firstLineChars="20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IC模块表面的最高点不应高于卡表面平面0.05mm;</w:t>
            </w:r>
          </w:p>
          <w:p>
            <w:pPr>
              <w:pStyle w:val="25"/>
              <w:ind w:firstLine="420" w:firstLineChars="20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IC模块表面的最低点不应低于卡表面平面0.05mm。</w:t>
            </w:r>
          </w:p>
          <w:p>
            <w:pPr>
              <w:pStyle w:val="25"/>
              <w:ind w:firstLine="420" w:firstLineChars="20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②整卡翘曲度：</w:t>
            </w:r>
          </w:p>
          <w:p>
            <w:pPr>
              <w:pStyle w:val="25"/>
              <w:ind w:firstLine="420" w:firstLineChars="20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翘曲最大值应不大于1.5mm</w:t>
            </w:r>
          </w:p>
          <w:p>
            <w:pPr>
              <w:pStyle w:val="25"/>
              <w:ind w:firstLine="420" w:firstLineChars="20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卡片切边毛刺长度：＜0.08mm。</w:t>
            </w:r>
          </w:p>
          <w:p>
            <w:pPr>
              <w:pStyle w:val="25"/>
              <w:ind w:firstLine="420" w:firstLineChars="20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③弯曲刚度：</w:t>
            </w:r>
          </w:p>
          <w:p>
            <w:pPr>
              <w:pStyle w:val="25"/>
              <w:ind w:firstLine="420" w:firstLineChars="20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弹性变形量应在3mm与35mm之间。</w:t>
            </w:r>
          </w:p>
          <w:p>
            <w:pPr>
              <w:pStyle w:val="25"/>
              <w:ind w:firstLine="420" w:firstLineChars="20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塑性变形量应小于1.5mm。</w:t>
            </w:r>
          </w:p>
          <w:p>
            <w:pPr>
              <w:pStyle w:val="25"/>
              <w:ind w:firstLine="420" w:firstLineChars="20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④表层剥离强度：≥3.5N/cm。</w:t>
            </w:r>
          </w:p>
          <w:p>
            <w:pPr>
              <w:pStyle w:val="25"/>
              <w:ind w:firstLine="420" w:firstLineChars="20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⑤温、湿度条件下的卡尺寸稳定性和翘曲：</w:t>
            </w:r>
          </w:p>
          <w:p>
            <w:pPr>
              <w:pStyle w:val="25"/>
              <w:ind w:firstLine="420" w:firstLineChars="20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将卡依次置于下列环境下各60分钟（a）-35°C±3°C；（b）50°C±3°C，相对湿度95%±5%将卡取出，放在实验室环境条件下保持24小时，再测卡片尺寸及卡片翘曲，要求卡片尺寸值和最大翘曲值的测量的结果应与原测量值一致。</w:t>
            </w:r>
          </w:p>
          <w:p>
            <w:pPr>
              <w:pStyle w:val="25"/>
              <w:ind w:firstLine="420" w:firstLineChars="20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⑥粘结性能</w:t>
            </w:r>
          </w:p>
          <w:p>
            <w:pPr>
              <w:pStyle w:val="25"/>
              <w:ind w:firstLine="420" w:firstLineChars="20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将未打过凸字的卡5个一组叠在一起放入40℃±3℃，相对湿度设定为40%-60%的箱内，使卡背面朝下，其上加以2.5Kpa的均匀压力。48小时之后取出，可以用手很容易地将单张卡分开。将卡拿到实验室环境温度下立刻观察，应无下列变化：脱层；变色或色转移；表面磨光变化；卡上没有物质转移现象；外观形变。</w:t>
            </w:r>
          </w:p>
          <w:p>
            <w:pPr>
              <w:pStyle w:val="25"/>
              <w:ind w:firstLine="420" w:firstLineChars="20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⑦弯曲特性</w:t>
            </w:r>
          </w:p>
          <w:p>
            <w:pPr>
              <w:pStyle w:val="25"/>
              <w:ind w:firstLine="420" w:firstLineChars="20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裁制完成之卡必须平直，其曲度、垂直间隙必须在1.27MM以下；</w:t>
            </w:r>
          </w:p>
          <w:p>
            <w:pPr>
              <w:pStyle w:val="25"/>
              <w:ind w:firstLine="420" w:firstLineChars="20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凸字后其曲度垂直间隙必须在2.03MM以下，叠合层不得剥离或脱落；</w:t>
            </w:r>
          </w:p>
          <w:p>
            <w:pPr>
              <w:pStyle w:val="25"/>
              <w:ind w:firstLine="420" w:firstLineChars="200"/>
              <w:rPr>
                <w:rFonts w:ascii="仿宋_GB2312" w:eastAsia="仿宋_GB2312"/>
                <w:color w:val="000000" w:themeColor="text1"/>
                <w:highlight w:val="none"/>
              </w:rPr>
            </w:pPr>
            <w:r>
              <w:rPr>
                <w:rFonts w:hint="eastAsia" w:ascii="仿宋_GB2312" w:eastAsia="仿宋_GB2312"/>
                <w:color w:val="000000" w:themeColor="text1"/>
                <w:highlight w:val="none"/>
              </w:rPr>
              <w:t>⑧防磁、防水、耐温、耐潮湿、耐其他化学物质腐蚀等方面，符合国家标准要求。</w:t>
            </w:r>
          </w:p>
          <w:p>
            <w:pPr>
              <w:pStyle w:val="25"/>
              <w:ind w:firstLine="420" w:firstLineChars="200"/>
              <w:rPr>
                <w:rFonts w:ascii="仿宋_GB2312" w:hAnsi="宋体" w:eastAsia="仿宋_GB2312"/>
                <w:color w:val="000000" w:themeColor="text1"/>
                <w:szCs w:val="28"/>
                <w:highlight w:val="none"/>
              </w:rPr>
            </w:pPr>
            <w:r>
              <w:rPr>
                <w:rFonts w:hint="eastAsia" w:ascii="仿宋_GB2312" w:eastAsia="仿宋_GB2312"/>
                <w:color w:val="000000" w:themeColor="text1"/>
                <w:highlight w:val="none"/>
              </w:rPr>
              <w:t>5．卡面制版要求</w:t>
            </w:r>
            <w:r>
              <w:rPr>
                <w:rFonts w:hint="eastAsia" w:ascii="仿宋_GB2312" w:eastAsia="仿宋_GB2312"/>
                <w:color w:val="000000" w:themeColor="text1"/>
                <w:highlight w:val="none"/>
              </w:rPr>
              <w:tab/>
            </w:r>
          </w:p>
          <w:p>
            <w:pPr>
              <w:pStyle w:val="25"/>
              <w:spacing w:line="360" w:lineRule="auto"/>
              <w:ind w:firstLine="420" w:firstLineChars="20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底纹文字、防伪标志及其他要素必须按照银联有关规范实施。卡片正、反面还应按规范印刷“银联”图案。</w:t>
            </w:r>
          </w:p>
          <w:p>
            <w:pPr>
              <w:pStyle w:val="25"/>
              <w:spacing w:line="360" w:lineRule="auto"/>
              <w:ind w:firstLine="420" w:firstLineChars="200"/>
              <w:rPr>
                <w:rFonts w:ascii="Times New Roman" w:hAnsi="Times New Roman" w:eastAsia="宋体" w:cs="Times New Roman"/>
                <w:color w:val="000000" w:themeColor="text1"/>
                <w:szCs w:val="21"/>
                <w:highlight w:val="none"/>
              </w:rPr>
            </w:pPr>
            <w:r>
              <w:rPr>
                <w:rFonts w:hint="eastAsia" w:ascii="仿宋_GB2312" w:hAnsi="宋体" w:eastAsia="仿宋_GB2312"/>
                <w:color w:val="000000" w:themeColor="text1"/>
                <w:szCs w:val="28"/>
                <w:highlight w:val="none"/>
              </w:rPr>
              <w:t>卡片正背面印刷按用户指定的图样和文字，卡号由用户自行定义及处理。</w:t>
            </w:r>
          </w:p>
        </w:tc>
        <w:tc>
          <w:tcPr>
            <w:tcW w:w="699" w:type="dxa"/>
            <w:vAlign w:val="center"/>
          </w:tcPr>
          <w:p>
            <w:pPr>
              <w:rPr>
                <w:rFonts w:ascii="Times New Roman" w:hAnsi="Times New Roman" w:eastAsia="宋体" w:cs="Times New Roman"/>
                <w:color w:val="000000" w:themeColor="text1"/>
                <w:szCs w:val="21"/>
                <w:highlight w:val="none"/>
              </w:rPr>
            </w:pPr>
          </w:p>
        </w:tc>
        <w:tc>
          <w:tcPr>
            <w:tcW w:w="1351" w:type="dxa"/>
            <w:vAlign w:val="center"/>
          </w:tcPr>
          <w:p>
            <w:pPr>
              <w:rPr>
                <w:rFonts w:ascii="Times New Roman" w:hAnsi="Times New Roman" w:eastAsia="宋体" w:cs="Times New Roman"/>
                <w:color w:val="000000" w:themeColor="text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5" w:hRule="atLeast"/>
        </w:trPr>
        <w:tc>
          <w:tcPr>
            <w:tcW w:w="403" w:type="dxa"/>
            <w:vAlign w:val="center"/>
          </w:tcPr>
          <w:p>
            <w:pPr>
              <w:tabs>
                <w:tab w:val="left" w:pos="1050"/>
                <w:tab w:val="left" w:pos="1470"/>
              </w:tabs>
              <w:rPr>
                <w:color w:val="000000" w:themeColor="text1"/>
                <w:highlight w:val="none"/>
              </w:rPr>
            </w:pPr>
            <w:r>
              <w:rPr>
                <w:rFonts w:hint="eastAsia" w:ascii="Times New Roman" w:hAnsi="Times New Roman" w:eastAsia="宋体" w:cs="Times New Roman"/>
                <w:color w:val="000000" w:themeColor="text1"/>
                <w:szCs w:val="21"/>
                <w:highlight w:val="none"/>
              </w:rPr>
              <w:t>4</w:t>
            </w:r>
          </w:p>
        </w:tc>
        <w:tc>
          <w:tcPr>
            <w:tcW w:w="7307" w:type="dxa"/>
            <w:vAlign w:val="center"/>
          </w:tcPr>
          <w:p>
            <w:pPr>
              <w:tabs>
                <w:tab w:val="left" w:pos="1260"/>
              </w:tabs>
              <w:spacing w:line="360" w:lineRule="auto"/>
              <w:rPr>
                <w:rFonts w:ascii="仿宋_GB2312" w:eastAsia="仿宋_GB2312"/>
                <w:b/>
                <w:color w:val="000000" w:themeColor="text1"/>
                <w:sz w:val="24"/>
                <w:szCs w:val="28"/>
                <w:highlight w:val="none"/>
              </w:rPr>
            </w:pPr>
            <w:r>
              <w:rPr>
                <w:rFonts w:hint="eastAsia" w:ascii="仿宋_GB2312" w:eastAsia="仿宋_GB2312"/>
                <w:b/>
                <w:color w:val="000000" w:themeColor="text1"/>
                <w:sz w:val="24"/>
                <w:szCs w:val="28"/>
                <w:highlight w:val="none"/>
              </w:rPr>
              <w:t>卡片生产要求</w:t>
            </w:r>
          </w:p>
          <w:p>
            <w:pPr>
              <w:tabs>
                <w:tab w:val="left" w:pos="1260"/>
              </w:tabs>
              <w:spacing w:line="360" w:lineRule="auto"/>
              <w:rPr>
                <w:rFonts w:ascii="仿宋_GB2312" w:eastAsia="仿宋_GB2312"/>
                <w:b/>
                <w:color w:val="000000" w:themeColor="text1"/>
                <w:sz w:val="24"/>
                <w:szCs w:val="28"/>
                <w:highlight w:val="none"/>
              </w:rPr>
            </w:pPr>
          </w:p>
          <w:p>
            <w:pPr>
              <w:tabs>
                <w:tab w:val="left" w:pos="1260"/>
              </w:tabs>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制造能满足甲方项目功能、性能、质量要求的智能卡。卡片符合相关规范技术要求，并通过相应检测认证，具备接触式和双界面卡片生产能力；卡片生产过程符合ISO9001质量体系要求；卡片质量符合相关行业标准；卡片生产提供数量符合项目建设计划要求。</w:t>
            </w:r>
          </w:p>
          <w:p>
            <w:pPr>
              <w:tabs>
                <w:tab w:val="left" w:pos="1260"/>
              </w:tabs>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提供测试卡和正式样卡。</w:t>
            </w:r>
          </w:p>
          <w:p>
            <w:pPr>
              <w:tabs>
                <w:tab w:val="left" w:pos="1260"/>
              </w:tabs>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（1）在卡应用开发调试阶段，为配合IC卡应用开发，必须及时提供测试卡。</w:t>
            </w:r>
          </w:p>
          <w:p>
            <w:pPr>
              <w:tabs>
                <w:tab w:val="left" w:pos="1260"/>
              </w:tabs>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（2）按照甲方制版提供正式样卡。正式制卡前应提供正式样卡，该卡片应与批量制卡完全一致，提交甲方测试、确认、备案。</w:t>
            </w:r>
          </w:p>
          <w:p>
            <w:pPr>
              <w:tabs>
                <w:tab w:val="left" w:pos="1260"/>
              </w:tabs>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（3）配合甲方将正式样卡提交人民银行等相关单位检测。</w:t>
            </w:r>
          </w:p>
          <w:p>
            <w:pPr>
              <w:tabs>
                <w:tab w:val="left" w:pos="1260"/>
              </w:tabs>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严格按照相关标准生产，生产过程中非因甲方提供的原始生产数据有误而产生的废卡由乙方负责。</w:t>
            </w:r>
          </w:p>
          <w:p>
            <w:pPr>
              <w:tabs>
                <w:tab w:val="left" w:pos="1260"/>
              </w:tabs>
              <w:spacing w:line="360" w:lineRule="auto"/>
              <w:ind w:firstLine="480"/>
              <w:rPr>
                <w:rFonts w:ascii="Times New Roman" w:hAnsi="Times New Roman" w:eastAsia="宋体" w:cs="Times New Roman"/>
                <w:color w:val="000000" w:themeColor="text1"/>
                <w:szCs w:val="21"/>
                <w:highlight w:val="none"/>
              </w:rPr>
            </w:pPr>
            <w:r>
              <w:rPr>
                <w:rFonts w:hint="eastAsia" w:ascii="仿宋_GB2312" w:eastAsia="仿宋_GB2312"/>
                <w:color w:val="000000" w:themeColor="text1"/>
                <w:szCs w:val="28"/>
                <w:highlight w:val="none"/>
              </w:rPr>
              <w:t>IC卡制作过程中的安全管理要求：在IC卡的生产过程中必须对生产人员、生产环境，以及各种生产要素进行严格的安全管理和控制，保证卡片和制卡数据的安全和保密。</w:t>
            </w:r>
          </w:p>
        </w:tc>
        <w:tc>
          <w:tcPr>
            <w:tcW w:w="699" w:type="dxa"/>
            <w:vAlign w:val="center"/>
          </w:tcPr>
          <w:p>
            <w:pPr>
              <w:rPr>
                <w:rFonts w:ascii="Times New Roman" w:hAnsi="Times New Roman" w:eastAsia="宋体" w:cs="Times New Roman"/>
                <w:b/>
                <w:color w:val="000000" w:themeColor="text1"/>
                <w:szCs w:val="21"/>
                <w:highlight w:val="none"/>
              </w:rPr>
            </w:pPr>
          </w:p>
        </w:tc>
        <w:tc>
          <w:tcPr>
            <w:tcW w:w="1351" w:type="dxa"/>
            <w:vAlign w:val="center"/>
          </w:tcPr>
          <w:p>
            <w:pPr>
              <w:rPr>
                <w:rFonts w:ascii="Times New Roman" w:hAnsi="Times New Roman" w:eastAsia="宋体" w:cs="Times New Roman"/>
                <w:b/>
                <w:color w:val="000000" w:themeColor="text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5" w:hRule="atLeast"/>
        </w:trPr>
        <w:tc>
          <w:tcPr>
            <w:tcW w:w="403" w:type="dxa"/>
            <w:vAlign w:val="center"/>
          </w:tcPr>
          <w:p>
            <w:pPr>
              <w:tabs>
                <w:tab w:val="left" w:pos="1050"/>
                <w:tab w:val="left" w:pos="1470"/>
              </w:tabs>
              <w:rPr>
                <w:color w:val="000000" w:themeColor="text1"/>
                <w:highlight w:val="none"/>
              </w:rPr>
            </w:pPr>
            <w:r>
              <w:rPr>
                <w:rFonts w:hint="eastAsia" w:ascii="Times New Roman" w:hAnsi="Times New Roman" w:eastAsia="宋体" w:cs="Times New Roman"/>
                <w:color w:val="000000" w:themeColor="text1"/>
                <w:szCs w:val="21"/>
                <w:highlight w:val="none"/>
              </w:rPr>
              <w:t>5</w:t>
            </w:r>
          </w:p>
        </w:tc>
        <w:tc>
          <w:tcPr>
            <w:tcW w:w="7307" w:type="dxa"/>
          </w:tcPr>
          <w:p>
            <w:pPr>
              <w:tabs>
                <w:tab w:val="left" w:pos="1260"/>
              </w:tabs>
              <w:spacing w:line="360" w:lineRule="auto"/>
              <w:rPr>
                <w:rFonts w:ascii="仿宋_GB2312" w:eastAsia="仿宋_GB2312"/>
                <w:b/>
                <w:color w:val="000000" w:themeColor="text1"/>
                <w:sz w:val="24"/>
                <w:szCs w:val="28"/>
                <w:highlight w:val="none"/>
              </w:rPr>
            </w:pPr>
            <w:r>
              <w:rPr>
                <w:rFonts w:hint="eastAsia" w:ascii="仿宋_GB2312" w:eastAsia="仿宋_GB2312"/>
                <w:b/>
                <w:color w:val="000000" w:themeColor="text1"/>
                <w:sz w:val="24"/>
                <w:szCs w:val="28"/>
                <w:highlight w:val="none"/>
              </w:rPr>
              <w:t>数据安全要求</w:t>
            </w:r>
          </w:p>
          <w:p>
            <w:pPr>
              <w:tabs>
                <w:tab w:val="left" w:pos="1260"/>
              </w:tabs>
              <w:spacing w:line="360" w:lineRule="auto"/>
              <w:rPr>
                <w:rFonts w:ascii="仿宋_GB2312" w:eastAsia="仿宋_GB2312"/>
                <w:b/>
                <w:color w:val="000000" w:themeColor="text1"/>
                <w:sz w:val="24"/>
                <w:szCs w:val="28"/>
                <w:highlight w:val="none"/>
              </w:rPr>
            </w:pPr>
          </w:p>
          <w:p>
            <w:pPr>
              <w:tabs>
                <w:tab w:val="left" w:pos="1260"/>
              </w:tabs>
              <w:spacing w:line="360" w:lineRule="auto"/>
              <w:ind w:firstLine="480"/>
              <w:rPr>
                <w:rFonts w:ascii="仿宋_GB2312" w:eastAsia="仿宋_GB2312"/>
                <w:color w:val="000000" w:themeColor="text1"/>
                <w:highlight w:val="none"/>
              </w:rPr>
            </w:pPr>
            <w:r>
              <w:rPr>
                <w:rFonts w:hint="eastAsia" w:ascii="仿宋_GB2312" w:eastAsia="仿宋_GB2312"/>
                <w:color w:val="000000" w:themeColor="text1"/>
                <w:highlight w:val="none"/>
              </w:rPr>
              <w:t>乙方必须按照中国人民银行、中国银监会、中国银联、VISA等国际组织的相关要求，制定严格的数字管理制度，对业务、设计、制版、工艺等部门的生产流程进行严格的规定，乙方各工序制作人员应严格按照该制度执行。</w:t>
            </w:r>
          </w:p>
          <w:p>
            <w:pPr>
              <w:tabs>
                <w:tab w:val="left" w:pos="1260"/>
              </w:tabs>
              <w:spacing w:line="360" w:lineRule="auto"/>
              <w:ind w:firstLine="480"/>
              <w:rPr>
                <w:rFonts w:ascii="仿宋_GB2312" w:hAnsi="宋体" w:eastAsia="仿宋_GB2312"/>
                <w:color w:val="000000" w:themeColor="text1"/>
                <w:szCs w:val="28"/>
                <w:highlight w:val="none"/>
              </w:rPr>
            </w:pPr>
            <w:r>
              <w:rPr>
                <w:rFonts w:hint="eastAsia" w:ascii="仿宋_GB2312" w:hAnsi="宋体" w:eastAsia="仿宋_GB2312"/>
                <w:color w:val="000000" w:themeColor="text1"/>
                <w:szCs w:val="28"/>
                <w:highlight w:val="none"/>
              </w:rPr>
              <w:t>乙方必须具有严密的数据和信息安全管理、数据传输安全管理、数据存储介质管理和生产加工过程安全管理制度。</w:t>
            </w:r>
          </w:p>
          <w:p>
            <w:pPr>
              <w:rPr>
                <w:rFonts w:ascii="Times New Roman" w:hAnsi="Times New Roman" w:eastAsia="宋体" w:cs="Times New Roman"/>
                <w:color w:val="000000" w:themeColor="text1"/>
                <w:szCs w:val="21"/>
                <w:highlight w:val="none"/>
              </w:rPr>
            </w:pPr>
            <w:r>
              <w:rPr>
                <w:rFonts w:hint="eastAsia" w:ascii="仿宋_GB2312" w:eastAsia="仿宋_GB2312"/>
                <w:color w:val="000000" w:themeColor="text1"/>
                <w:highlight w:val="none"/>
              </w:rPr>
              <w:t>双方数据交换必须通过数据加密系统来进行数据加解密，并采用安全可靠的网络连接方式进行传输，同时采用硬件防火墙进行隔离；甲方拥有独立的访问权限、存储空间。</w:t>
            </w:r>
          </w:p>
        </w:tc>
        <w:tc>
          <w:tcPr>
            <w:tcW w:w="699" w:type="dxa"/>
          </w:tcPr>
          <w:p>
            <w:pPr>
              <w:rPr>
                <w:rFonts w:ascii="Times New Roman" w:hAnsi="Times New Roman" w:eastAsia="宋体" w:cs="Times New Roman"/>
                <w:b/>
                <w:color w:val="000000" w:themeColor="text1"/>
                <w:szCs w:val="21"/>
                <w:highlight w:val="none"/>
              </w:rPr>
            </w:pPr>
          </w:p>
        </w:tc>
        <w:tc>
          <w:tcPr>
            <w:tcW w:w="1351" w:type="dxa"/>
          </w:tcPr>
          <w:p>
            <w:pPr>
              <w:rPr>
                <w:rFonts w:ascii="Times New Roman" w:hAnsi="Times New Roman" w:eastAsia="宋体" w:cs="Times New Roman"/>
                <w:b/>
                <w:color w:val="000000" w:themeColor="text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9" w:hRule="atLeast"/>
        </w:trPr>
        <w:tc>
          <w:tcPr>
            <w:tcW w:w="403" w:type="dxa"/>
            <w:vAlign w:val="center"/>
          </w:tcPr>
          <w:p>
            <w:pPr>
              <w:tabs>
                <w:tab w:val="left" w:pos="1050"/>
                <w:tab w:val="left" w:pos="1470"/>
              </w:tabs>
              <w:rPr>
                <w:color w:val="000000" w:themeColor="text1"/>
                <w:highlight w:val="none"/>
              </w:rPr>
            </w:pPr>
            <w:r>
              <w:rPr>
                <w:rFonts w:hint="eastAsia" w:ascii="Times New Roman" w:hAnsi="Times New Roman" w:eastAsia="宋体" w:cs="Times New Roman"/>
                <w:color w:val="000000" w:themeColor="text1"/>
                <w:szCs w:val="21"/>
                <w:highlight w:val="none"/>
              </w:rPr>
              <w:t>6</w:t>
            </w:r>
          </w:p>
        </w:tc>
        <w:tc>
          <w:tcPr>
            <w:tcW w:w="7307" w:type="dxa"/>
          </w:tcPr>
          <w:p>
            <w:pPr>
              <w:spacing w:line="360" w:lineRule="auto"/>
              <w:ind w:firstLine="480"/>
              <w:rPr>
                <w:rFonts w:ascii="仿宋_GB2312" w:eastAsia="仿宋_GB2312"/>
                <w:color w:val="000000" w:themeColor="text1"/>
                <w:szCs w:val="28"/>
                <w:highlight w:val="none"/>
              </w:rPr>
            </w:pPr>
            <w:r>
              <w:rPr>
                <w:rFonts w:hint="eastAsia" w:ascii="仿宋_GB2312" w:eastAsia="仿宋_GB2312"/>
                <w:color w:val="000000" w:themeColor="text1"/>
                <w:szCs w:val="28"/>
                <w:highlight w:val="none"/>
              </w:rPr>
              <w:t>产品的规格和技术均符合国际标准ISO/IEC7810、7811国际标准、VISA及MasterCard国际组织信用卡及GB/T 19584-2004《银行卡磁条信息格式和使用规范》及中国银联制作标准、《中国金融集成电路IC卡规范》和行业及发卡行其他标准、规范的要求和规定，符合借、贷记卡的卡面要求及安全规格,包括但不限于以上条款号为“1-5”条“招标要求”中的所有规范。</w:t>
            </w:r>
          </w:p>
          <w:p>
            <w:pPr>
              <w:rPr>
                <w:rFonts w:ascii="Times New Roman" w:hAnsi="Times New Roman" w:eastAsia="宋体" w:cs="Times New Roman"/>
                <w:color w:val="000000" w:themeColor="text1"/>
                <w:szCs w:val="21"/>
                <w:highlight w:val="none"/>
              </w:rPr>
            </w:pPr>
          </w:p>
        </w:tc>
        <w:tc>
          <w:tcPr>
            <w:tcW w:w="699" w:type="dxa"/>
          </w:tcPr>
          <w:p>
            <w:pPr>
              <w:rPr>
                <w:rFonts w:ascii="Times New Roman" w:hAnsi="Times New Roman" w:eastAsia="宋体" w:cs="Times New Roman"/>
                <w:b/>
                <w:color w:val="000000" w:themeColor="text1"/>
                <w:szCs w:val="21"/>
                <w:highlight w:val="none"/>
              </w:rPr>
            </w:pPr>
          </w:p>
        </w:tc>
        <w:tc>
          <w:tcPr>
            <w:tcW w:w="1351" w:type="dxa"/>
          </w:tcPr>
          <w:p>
            <w:pPr>
              <w:rPr>
                <w:rFonts w:ascii="Times New Roman" w:hAnsi="Times New Roman" w:eastAsia="宋体" w:cs="Times New Roman"/>
                <w:b/>
                <w:color w:val="000000" w:themeColor="text1"/>
                <w:szCs w:val="21"/>
                <w:highlight w:val="none"/>
              </w:rPr>
            </w:pPr>
          </w:p>
        </w:tc>
      </w:tr>
    </w:tbl>
    <w:p>
      <w:pPr>
        <w:spacing w:line="280" w:lineRule="exact"/>
        <w:jc w:val="left"/>
        <w:rPr>
          <w:rFonts w:ascii="Times New Roman" w:hAnsi="Times New Roman" w:eastAsia="仿宋" w:cs="Times New Roman"/>
          <w:bCs/>
          <w:color w:val="000000" w:themeColor="text1"/>
          <w:szCs w:val="21"/>
          <w:highlight w:val="none"/>
          <w:u w:val="single"/>
        </w:rPr>
      </w:pPr>
    </w:p>
    <w:p>
      <w:pPr>
        <w:spacing w:line="280" w:lineRule="exact"/>
        <w:jc w:val="left"/>
        <w:rPr>
          <w:rFonts w:ascii="Times New Roman" w:hAnsi="Times New Roman" w:eastAsia="仿宋" w:cs="Times New Roman"/>
          <w:bCs/>
          <w:color w:val="000000" w:themeColor="text1"/>
          <w:szCs w:val="21"/>
          <w:highlight w:val="none"/>
          <w:u w:val="single"/>
        </w:rPr>
      </w:pPr>
    </w:p>
    <w:p>
      <w:pPr>
        <w:spacing w:line="280" w:lineRule="exact"/>
        <w:jc w:val="left"/>
        <w:rPr>
          <w:rFonts w:ascii="Times New Roman" w:hAnsi="Times New Roman" w:eastAsia="仿宋" w:cs="Times New Roman"/>
          <w:bCs/>
          <w:color w:val="000000" w:themeColor="text1"/>
          <w:szCs w:val="21"/>
          <w:highlight w:val="none"/>
          <w:u w:val="single"/>
        </w:rPr>
      </w:pPr>
    </w:p>
    <w:p>
      <w:pPr>
        <w:tabs>
          <w:tab w:val="left" w:pos="6300"/>
        </w:tabs>
        <w:snapToGrid w:val="0"/>
        <w:spacing w:line="280" w:lineRule="exact"/>
        <w:ind w:right="420" w:firstLine="420" w:firstLineChars="200"/>
        <w:jc w:val="left"/>
        <w:rPr>
          <w:rFonts w:ascii="Times New Roman" w:hAnsi="Times New Roman" w:eastAsia="宋体" w:cs="Times New Roman"/>
          <w:b/>
          <w:color w:val="000000" w:themeColor="text1"/>
          <w:sz w:val="24"/>
          <w:szCs w:val="24"/>
          <w:highlight w:val="none"/>
        </w:rPr>
      </w:pPr>
      <w:r>
        <w:rPr>
          <w:rFonts w:hint="eastAsia" w:ascii="Times New Roman" w:hAnsi="Times New Roman" w:eastAsia="仿宋" w:cs="Times New Roman"/>
          <w:bCs/>
          <w:color w:val="000000" w:themeColor="text1"/>
          <w:szCs w:val="21"/>
          <w:highlight w:val="none"/>
          <w:u w:val="single"/>
        </w:rPr>
        <w:t>注：请各投标人仔细阅读招标文件相关条款，投标人对招标文件要求进行响应后，招标人在后期合同签订和项目实施过程中将按照招标文件要求执行，不再做出调整。</w:t>
      </w:r>
    </w:p>
    <w:p>
      <w:pPr>
        <w:tabs>
          <w:tab w:val="left" w:pos="6300"/>
        </w:tabs>
        <w:snapToGrid w:val="0"/>
        <w:spacing w:line="280" w:lineRule="exact"/>
        <w:ind w:right="420"/>
        <w:jc w:val="left"/>
        <w:rPr>
          <w:rFonts w:ascii="Times New Roman" w:hAnsi="Times New Roman" w:eastAsia="宋体" w:cs="Times New Roman"/>
          <w:b/>
          <w:color w:val="000000" w:themeColor="text1"/>
          <w:sz w:val="24"/>
          <w:szCs w:val="24"/>
          <w:highlight w:val="none"/>
        </w:rPr>
      </w:pPr>
    </w:p>
    <w:p>
      <w:pPr>
        <w:tabs>
          <w:tab w:val="left" w:pos="6300"/>
        </w:tabs>
        <w:snapToGrid w:val="0"/>
        <w:spacing w:line="280" w:lineRule="exact"/>
        <w:ind w:right="420" w:firstLine="142"/>
        <w:jc w:val="left"/>
        <w:rPr>
          <w:rFonts w:ascii="Times New Roman" w:hAnsi="Times New Roman" w:eastAsia="宋体" w:cs="Times New Roman"/>
          <w:b/>
          <w:color w:val="000000" w:themeColor="text1"/>
          <w:sz w:val="24"/>
          <w:szCs w:val="24"/>
          <w:highlight w:val="none"/>
        </w:rPr>
      </w:pPr>
    </w:p>
    <w:p>
      <w:pPr>
        <w:tabs>
          <w:tab w:val="left" w:pos="6300"/>
        </w:tabs>
        <w:snapToGrid w:val="0"/>
        <w:spacing w:line="280" w:lineRule="exact"/>
        <w:ind w:right="420" w:firstLine="142"/>
        <w:jc w:val="left"/>
        <w:rPr>
          <w:rFonts w:ascii="Times New Roman" w:hAnsi="Times New Roman" w:eastAsia="宋体" w:cs="Times New Roman"/>
          <w:b/>
          <w:color w:val="000000" w:themeColor="text1"/>
          <w:sz w:val="24"/>
          <w:szCs w:val="24"/>
          <w:highlight w:val="none"/>
        </w:rPr>
      </w:pPr>
    </w:p>
    <w:p>
      <w:pPr>
        <w:tabs>
          <w:tab w:val="left" w:pos="6300"/>
        </w:tabs>
        <w:snapToGrid w:val="0"/>
        <w:spacing w:line="280" w:lineRule="exact"/>
        <w:ind w:right="420" w:firstLine="142"/>
        <w:jc w:val="left"/>
        <w:rPr>
          <w:rFonts w:ascii="Times New Roman" w:hAnsi="Times New Roman" w:eastAsia="宋体" w:cs="Times New Roman"/>
          <w:b/>
          <w:color w:val="000000" w:themeColor="text1"/>
          <w:sz w:val="24"/>
          <w:szCs w:val="24"/>
          <w:highlight w:val="none"/>
        </w:rPr>
      </w:pPr>
      <w:r>
        <w:rPr>
          <w:rFonts w:ascii="Times New Roman" w:hAnsi="Times New Roman" w:eastAsia="宋体" w:cs="Times New Roman"/>
          <w:b/>
          <w:color w:val="000000" w:themeColor="text1"/>
          <w:sz w:val="24"/>
          <w:szCs w:val="24"/>
          <w:highlight w:val="none"/>
        </w:rPr>
        <w:t>投标人（公章）：</w:t>
      </w:r>
    </w:p>
    <w:p>
      <w:pPr>
        <w:spacing w:line="280" w:lineRule="exact"/>
        <w:ind w:right="105" w:firstLine="120" w:firstLineChars="50"/>
        <w:jc w:val="left"/>
        <w:rPr>
          <w:rFonts w:ascii="Times New Roman" w:hAnsi="Times New Roman" w:eastAsia="宋体" w:cs="Times New Roman"/>
          <w:b/>
          <w:color w:val="000000" w:themeColor="text1"/>
          <w:sz w:val="24"/>
          <w:szCs w:val="24"/>
          <w:highlight w:val="none"/>
        </w:rPr>
      </w:pPr>
      <w:r>
        <w:rPr>
          <w:rFonts w:ascii="Times New Roman" w:hAnsi="Times New Roman" w:eastAsia="宋体" w:cs="Times New Roman"/>
          <w:b/>
          <w:color w:val="000000" w:themeColor="text1"/>
          <w:sz w:val="24"/>
          <w:szCs w:val="24"/>
          <w:highlight w:val="none"/>
        </w:rPr>
        <w:t>法定代表人或其委托代理人：（盖章或签字）</w:t>
      </w:r>
    </w:p>
    <w:p>
      <w:pPr>
        <w:widowControl/>
        <w:spacing w:line="280" w:lineRule="exact"/>
        <w:ind w:firstLine="3132" w:firstLineChars="1300"/>
        <w:jc w:val="left"/>
        <w:rPr>
          <w:rFonts w:ascii="Times New Roman" w:hAnsi="Times New Roman" w:eastAsia="宋体" w:cs="Times New Roman"/>
          <w:b/>
          <w:color w:val="000000" w:themeColor="text1"/>
          <w:sz w:val="24"/>
          <w:szCs w:val="24"/>
          <w:highlight w:val="none"/>
        </w:rPr>
      </w:pPr>
      <w:r>
        <w:rPr>
          <w:rFonts w:ascii="Times New Roman" w:hAnsi="Times New Roman" w:eastAsia="宋体" w:cs="Times New Roman"/>
          <w:b/>
          <w:color w:val="000000" w:themeColor="text1"/>
          <w:sz w:val="24"/>
          <w:szCs w:val="24"/>
          <w:highlight w:val="none"/>
        </w:rPr>
        <w:t>年</w:t>
      </w:r>
      <w:r>
        <w:rPr>
          <w:rFonts w:hint="eastAsia" w:ascii="Times New Roman" w:hAnsi="Times New Roman" w:eastAsia="宋体" w:cs="Times New Roman"/>
          <w:b/>
          <w:color w:val="000000" w:themeColor="text1"/>
          <w:sz w:val="24"/>
          <w:szCs w:val="24"/>
          <w:highlight w:val="none"/>
        </w:rPr>
        <w:t xml:space="preserve">  </w:t>
      </w:r>
      <w:r>
        <w:rPr>
          <w:rFonts w:ascii="Times New Roman" w:hAnsi="Times New Roman" w:eastAsia="宋体" w:cs="Times New Roman"/>
          <w:b/>
          <w:color w:val="000000" w:themeColor="text1"/>
          <w:sz w:val="24"/>
          <w:szCs w:val="24"/>
          <w:highlight w:val="none"/>
        </w:rPr>
        <w:t>月</w:t>
      </w:r>
      <w:r>
        <w:rPr>
          <w:rFonts w:hint="eastAsia" w:ascii="Times New Roman" w:hAnsi="Times New Roman" w:eastAsia="宋体" w:cs="Times New Roman"/>
          <w:b/>
          <w:color w:val="000000" w:themeColor="text1"/>
          <w:sz w:val="24"/>
          <w:szCs w:val="24"/>
          <w:highlight w:val="none"/>
        </w:rPr>
        <w:t xml:space="preserve">   </w:t>
      </w:r>
      <w:r>
        <w:rPr>
          <w:rFonts w:ascii="Times New Roman" w:hAnsi="Times New Roman" w:eastAsia="宋体" w:cs="Times New Roman"/>
          <w:b/>
          <w:color w:val="000000" w:themeColor="text1"/>
          <w:sz w:val="24"/>
          <w:szCs w:val="24"/>
          <w:highlight w:val="none"/>
        </w:rPr>
        <w:t>日</w:t>
      </w:r>
    </w:p>
    <w:p>
      <w:pPr>
        <w:spacing w:line="240" w:lineRule="exact"/>
        <w:rPr>
          <w:color w:val="000000" w:themeColor="text1"/>
          <w:highlight w:val="none"/>
        </w:rPr>
      </w:pPr>
    </w:p>
    <w:p>
      <w:pPr>
        <w:spacing w:line="240" w:lineRule="exact"/>
        <w:rPr>
          <w:color w:val="000000" w:themeColor="text1"/>
          <w:highlight w:val="none"/>
        </w:rPr>
      </w:pPr>
    </w:p>
    <w:p>
      <w:pPr>
        <w:spacing w:line="240" w:lineRule="exact"/>
        <w:rPr>
          <w:color w:val="000000" w:themeColor="text1"/>
          <w:highlight w:val="none"/>
        </w:rPr>
      </w:pPr>
    </w:p>
    <w:p>
      <w:pPr>
        <w:spacing w:line="240" w:lineRule="exact"/>
        <w:rPr>
          <w:color w:val="000000" w:themeColor="text1"/>
          <w:highlight w:val="none"/>
        </w:rPr>
      </w:pPr>
      <w:r>
        <w:rPr>
          <w:color w:val="000000" w:themeColor="text1"/>
          <w:highlight w:val="none"/>
        </w:rPr>
        <w:br w:type="page"/>
      </w:r>
    </w:p>
    <w:p>
      <w:pPr>
        <w:spacing w:line="240" w:lineRule="exact"/>
        <w:rPr>
          <w:color w:val="000000" w:themeColor="text1"/>
          <w:highlight w:val="none"/>
        </w:rPr>
      </w:pPr>
      <w:r>
        <w:rPr>
          <w:rFonts w:hint="eastAsia"/>
          <w:color w:val="000000" w:themeColor="text1"/>
          <w:highlight w:val="none"/>
        </w:rPr>
        <w:t>附件4：投标人业绩表</w:t>
      </w:r>
    </w:p>
    <w:p>
      <w:pPr>
        <w:spacing w:line="240" w:lineRule="exact"/>
        <w:rPr>
          <w:color w:val="000000" w:themeColor="text1"/>
          <w:highlight w:val="none"/>
        </w:rPr>
      </w:pPr>
    </w:p>
    <w:p>
      <w:pPr>
        <w:rPr>
          <w:color w:val="000000" w:themeColor="text1"/>
          <w:highlight w:val="none"/>
        </w:rPr>
      </w:pPr>
      <w:r>
        <w:rPr>
          <w:rFonts w:hint="eastAsia"/>
          <w:color w:val="000000" w:themeColor="text1"/>
          <w:highlight w:val="none"/>
        </w:rPr>
        <w:t>表1：</w:t>
      </w:r>
    </w:p>
    <w:p>
      <w:pPr>
        <w:spacing w:line="240" w:lineRule="exact"/>
        <w:jc w:val="center"/>
        <w:rPr>
          <w:rFonts w:cs="宋体" w:asciiTheme="minorEastAsia" w:hAnsiTheme="minorEastAsia"/>
          <w:b/>
          <w:color w:val="000000" w:themeColor="text1"/>
          <w:sz w:val="24"/>
          <w:szCs w:val="24"/>
          <w:highlight w:val="none"/>
        </w:rPr>
      </w:pPr>
      <w:r>
        <w:rPr>
          <w:rFonts w:hint="eastAsia" w:cs="宋体" w:asciiTheme="minorEastAsia" w:hAnsiTheme="minorEastAsia"/>
          <w:b/>
          <w:color w:val="000000" w:themeColor="text1"/>
          <w:sz w:val="24"/>
          <w:szCs w:val="24"/>
          <w:highlight w:val="none"/>
        </w:rPr>
        <w:t>资格要求案例评审表</w:t>
      </w:r>
    </w:p>
    <w:p>
      <w:pPr>
        <w:spacing w:line="360" w:lineRule="auto"/>
        <w:ind w:left="-283" w:leftChars="-135" w:right="-57" w:rightChars="-27"/>
        <w:jc w:val="center"/>
        <w:rPr>
          <w:rFonts w:cs="Times New Roman" w:asciiTheme="minorEastAsia" w:hAnsiTheme="minorEastAsia"/>
          <w:b/>
          <w:color w:val="000000" w:themeColor="text1"/>
          <w:kern w:val="0"/>
          <w:szCs w:val="21"/>
          <w:highlight w:val="none"/>
        </w:rPr>
      </w:pPr>
      <w:r>
        <w:rPr>
          <w:rFonts w:hint="eastAsia" w:cs="Times New Roman" w:asciiTheme="minorEastAsia" w:hAnsiTheme="minorEastAsia"/>
          <w:b/>
          <w:color w:val="000000" w:themeColor="text1"/>
          <w:kern w:val="0"/>
          <w:szCs w:val="21"/>
          <w:highlight w:val="none"/>
        </w:rPr>
        <w:t>（请投标人根据招标文件要求如实认真填写附件相关表格资料）</w:t>
      </w:r>
    </w:p>
    <w:tbl>
      <w:tblPr>
        <w:tblStyle w:val="55"/>
        <w:tblW w:w="6674" w:type="dxa"/>
        <w:jc w:val="center"/>
        <w:tblInd w:w="-10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
        <w:gridCol w:w="1074"/>
        <w:gridCol w:w="1417"/>
        <w:gridCol w:w="1985"/>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975" w:type="dxa"/>
            <w:shd w:val="clear" w:color="000000" w:fill="FFFFFF"/>
            <w:vAlign w:val="center"/>
          </w:tcPr>
          <w:p>
            <w:pPr>
              <w:spacing w:line="400" w:lineRule="exact"/>
              <w:jc w:val="center"/>
              <w:rPr>
                <w:rFonts w:cs="Times New Roman" w:asciiTheme="minorEastAsia" w:hAnsiTheme="minorEastAsia"/>
                <w:b/>
                <w:bCs/>
                <w:color w:val="000000" w:themeColor="text1"/>
                <w:kern w:val="0"/>
                <w:szCs w:val="21"/>
                <w:highlight w:val="none"/>
              </w:rPr>
            </w:pPr>
            <w:r>
              <w:rPr>
                <w:rFonts w:hint="eastAsia" w:cs="Times New Roman" w:asciiTheme="minorEastAsia" w:hAnsiTheme="minorEastAsia"/>
                <w:b/>
                <w:bCs/>
                <w:color w:val="000000" w:themeColor="text1"/>
                <w:kern w:val="0"/>
                <w:szCs w:val="21"/>
                <w:highlight w:val="none"/>
              </w:rPr>
              <w:t>序号</w:t>
            </w:r>
          </w:p>
        </w:tc>
        <w:tc>
          <w:tcPr>
            <w:tcW w:w="1074" w:type="dxa"/>
            <w:shd w:val="clear" w:color="000000" w:fill="FFFFFF"/>
            <w:vAlign w:val="center"/>
          </w:tcPr>
          <w:p>
            <w:pPr>
              <w:spacing w:line="400" w:lineRule="exact"/>
              <w:jc w:val="center"/>
              <w:rPr>
                <w:rFonts w:cs="Times New Roman" w:asciiTheme="minorEastAsia" w:hAnsiTheme="minorEastAsia"/>
                <w:b/>
                <w:bCs/>
                <w:color w:val="000000" w:themeColor="text1"/>
                <w:kern w:val="0"/>
                <w:szCs w:val="21"/>
                <w:highlight w:val="none"/>
              </w:rPr>
            </w:pPr>
            <w:r>
              <w:rPr>
                <w:rFonts w:hint="eastAsia" w:cs="Times New Roman" w:asciiTheme="minorEastAsia" w:hAnsiTheme="minorEastAsia"/>
                <w:b/>
                <w:bCs/>
                <w:color w:val="000000" w:themeColor="text1"/>
                <w:kern w:val="0"/>
                <w:szCs w:val="21"/>
                <w:highlight w:val="none"/>
              </w:rPr>
              <w:t>合同签订时间</w:t>
            </w:r>
          </w:p>
        </w:tc>
        <w:tc>
          <w:tcPr>
            <w:tcW w:w="1417" w:type="dxa"/>
            <w:shd w:val="clear" w:color="000000" w:fill="FFFFFF"/>
            <w:vAlign w:val="center"/>
          </w:tcPr>
          <w:p>
            <w:pPr>
              <w:spacing w:line="400" w:lineRule="exact"/>
              <w:jc w:val="center"/>
              <w:rPr>
                <w:rFonts w:cs="Times New Roman" w:asciiTheme="minorEastAsia" w:hAnsiTheme="minorEastAsia"/>
                <w:b/>
                <w:bCs/>
                <w:color w:val="000000" w:themeColor="text1"/>
                <w:kern w:val="0"/>
                <w:szCs w:val="21"/>
                <w:highlight w:val="none"/>
              </w:rPr>
            </w:pPr>
            <w:r>
              <w:rPr>
                <w:rFonts w:hint="eastAsia" w:cs="Times New Roman" w:asciiTheme="minorEastAsia" w:hAnsiTheme="minorEastAsia"/>
                <w:b/>
                <w:bCs/>
                <w:color w:val="000000" w:themeColor="text1"/>
                <w:kern w:val="0"/>
                <w:szCs w:val="21"/>
                <w:highlight w:val="none"/>
              </w:rPr>
              <w:t>项目名称</w:t>
            </w:r>
          </w:p>
        </w:tc>
        <w:tc>
          <w:tcPr>
            <w:tcW w:w="1985" w:type="dxa"/>
            <w:shd w:val="clear" w:color="000000" w:fill="FFFFFF"/>
            <w:vAlign w:val="center"/>
          </w:tcPr>
          <w:p>
            <w:pPr>
              <w:spacing w:line="400" w:lineRule="exact"/>
              <w:jc w:val="center"/>
              <w:rPr>
                <w:rFonts w:cs="Times New Roman" w:asciiTheme="minorEastAsia" w:hAnsiTheme="minorEastAsia"/>
                <w:b/>
                <w:bCs/>
                <w:color w:val="000000" w:themeColor="text1"/>
                <w:kern w:val="0"/>
                <w:szCs w:val="21"/>
                <w:highlight w:val="none"/>
              </w:rPr>
            </w:pPr>
            <w:r>
              <w:rPr>
                <w:rFonts w:hint="eastAsia" w:cs="Times New Roman" w:asciiTheme="minorEastAsia" w:hAnsiTheme="minorEastAsia"/>
                <w:b/>
                <w:bCs/>
                <w:color w:val="000000" w:themeColor="text1"/>
                <w:kern w:val="0"/>
                <w:szCs w:val="21"/>
                <w:highlight w:val="none"/>
              </w:rPr>
              <w:t>合同采购方名称、联系人及联系方式</w:t>
            </w:r>
          </w:p>
        </w:tc>
        <w:tc>
          <w:tcPr>
            <w:tcW w:w="1223" w:type="dxa"/>
            <w:shd w:val="clear" w:color="000000" w:fill="FFFFFF"/>
            <w:vAlign w:val="center"/>
          </w:tcPr>
          <w:p>
            <w:pPr>
              <w:spacing w:line="400" w:lineRule="exact"/>
              <w:jc w:val="center"/>
              <w:rPr>
                <w:rFonts w:cs="Times New Roman" w:asciiTheme="minorEastAsia" w:hAnsiTheme="minorEastAsia"/>
                <w:b/>
                <w:bCs/>
                <w:color w:val="000000" w:themeColor="text1"/>
                <w:kern w:val="0"/>
                <w:szCs w:val="21"/>
                <w:highlight w:val="none"/>
              </w:rPr>
            </w:pPr>
            <w:r>
              <w:rPr>
                <w:rFonts w:hint="eastAsia" w:cs="Times New Roman" w:asciiTheme="minorEastAsia" w:hAnsiTheme="minorEastAsia"/>
                <w:b/>
                <w:bCs/>
                <w:color w:val="000000" w:themeColor="text1"/>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975" w:type="dxa"/>
            <w:vAlign w:val="center"/>
          </w:tcPr>
          <w:p>
            <w:pPr>
              <w:spacing w:line="400" w:lineRule="exact"/>
              <w:jc w:val="center"/>
              <w:rPr>
                <w:rFonts w:cs="Times New Roman" w:asciiTheme="minorEastAsia" w:hAnsiTheme="minorEastAsia"/>
                <w:b/>
                <w:bCs/>
                <w:color w:val="000000" w:themeColor="text1"/>
                <w:kern w:val="0"/>
                <w:szCs w:val="21"/>
                <w:highlight w:val="none"/>
              </w:rPr>
            </w:pPr>
            <w:r>
              <w:rPr>
                <w:rFonts w:hint="eastAsia" w:cs="Times New Roman" w:asciiTheme="minorEastAsia" w:hAnsiTheme="minorEastAsia"/>
                <w:b/>
                <w:bCs/>
                <w:color w:val="000000" w:themeColor="text1"/>
                <w:kern w:val="0"/>
                <w:szCs w:val="21"/>
                <w:highlight w:val="none"/>
              </w:rPr>
              <w:t>案例</w:t>
            </w:r>
            <w:r>
              <w:rPr>
                <w:rFonts w:cs="Times New Roman" w:asciiTheme="minorEastAsia" w:hAnsiTheme="minorEastAsia"/>
                <w:b/>
                <w:bCs/>
                <w:color w:val="000000" w:themeColor="text1"/>
                <w:kern w:val="0"/>
                <w:szCs w:val="21"/>
                <w:highlight w:val="none"/>
              </w:rPr>
              <w:t>1</w:t>
            </w:r>
          </w:p>
        </w:tc>
        <w:tc>
          <w:tcPr>
            <w:tcW w:w="1074" w:type="dxa"/>
            <w:vAlign w:val="center"/>
          </w:tcPr>
          <w:p>
            <w:pPr>
              <w:spacing w:line="400" w:lineRule="exact"/>
              <w:jc w:val="center"/>
              <w:rPr>
                <w:rFonts w:cs="Times New Roman" w:asciiTheme="minorEastAsia" w:hAnsiTheme="minorEastAsia"/>
                <w:color w:val="000000" w:themeColor="text1"/>
                <w:kern w:val="0"/>
                <w:szCs w:val="21"/>
                <w:highlight w:val="none"/>
              </w:rPr>
            </w:pPr>
          </w:p>
        </w:tc>
        <w:tc>
          <w:tcPr>
            <w:tcW w:w="1417" w:type="dxa"/>
            <w:vAlign w:val="center"/>
          </w:tcPr>
          <w:p>
            <w:pPr>
              <w:spacing w:line="400" w:lineRule="exact"/>
              <w:jc w:val="center"/>
              <w:rPr>
                <w:rFonts w:cs="Times New Roman" w:asciiTheme="minorEastAsia" w:hAnsiTheme="minorEastAsia"/>
                <w:color w:val="000000" w:themeColor="text1"/>
                <w:kern w:val="0"/>
                <w:szCs w:val="21"/>
                <w:highlight w:val="none"/>
              </w:rPr>
            </w:pPr>
          </w:p>
        </w:tc>
        <w:tc>
          <w:tcPr>
            <w:tcW w:w="1985" w:type="dxa"/>
            <w:vAlign w:val="center"/>
          </w:tcPr>
          <w:p>
            <w:pPr>
              <w:spacing w:line="400" w:lineRule="exact"/>
              <w:jc w:val="center"/>
              <w:rPr>
                <w:rFonts w:cs="Times New Roman" w:asciiTheme="minorEastAsia" w:hAnsiTheme="minorEastAsia"/>
                <w:color w:val="000000" w:themeColor="text1"/>
                <w:kern w:val="0"/>
                <w:szCs w:val="21"/>
                <w:highlight w:val="none"/>
              </w:rPr>
            </w:pPr>
          </w:p>
        </w:tc>
        <w:tc>
          <w:tcPr>
            <w:tcW w:w="1223" w:type="dxa"/>
            <w:vAlign w:val="center"/>
          </w:tcPr>
          <w:p>
            <w:pPr>
              <w:spacing w:line="400" w:lineRule="exact"/>
              <w:jc w:val="center"/>
              <w:rPr>
                <w:rFonts w:cs="Times New Roman" w:asciiTheme="minorEastAsia" w:hAnsiTheme="minorEastAsia"/>
                <w:color w:val="000000" w:themeColor="text1"/>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975" w:type="dxa"/>
            <w:vAlign w:val="center"/>
          </w:tcPr>
          <w:p>
            <w:pPr>
              <w:spacing w:line="400" w:lineRule="exact"/>
              <w:jc w:val="center"/>
              <w:rPr>
                <w:rFonts w:cs="Times New Roman" w:asciiTheme="minorEastAsia" w:hAnsiTheme="minorEastAsia"/>
                <w:b/>
                <w:bCs/>
                <w:color w:val="000000" w:themeColor="text1"/>
                <w:kern w:val="0"/>
                <w:szCs w:val="21"/>
                <w:highlight w:val="none"/>
              </w:rPr>
            </w:pPr>
            <w:r>
              <w:rPr>
                <w:rFonts w:hint="eastAsia" w:cs="Times New Roman" w:asciiTheme="minorEastAsia" w:hAnsiTheme="minorEastAsia"/>
                <w:b/>
                <w:bCs/>
                <w:color w:val="000000" w:themeColor="text1"/>
                <w:kern w:val="0"/>
                <w:szCs w:val="21"/>
                <w:highlight w:val="none"/>
              </w:rPr>
              <w:t>案例</w:t>
            </w:r>
            <w:r>
              <w:rPr>
                <w:rFonts w:cs="Times New Roman" w:asciiTheme="minorEastAsia" w:hAnsiTheme="minorEastAsia"/>
                <w:b/>
                <w:bCs/>
                <w:color w:val="000000" w:themeColor="text1"/>
                <w:kern w:val="0"/>
                <w:szCs w:val="21"/>
                <w:highlight w:val="none"/>
              </w:rPr>
              <w:t>2</w:t>
            </w:r>
          </w:p>
        </w:tc>
        <w:tc>
          <w:tcPr>
            <w:tcW w:w="1074" w:type="dxa"/>
            <w:vAlign w:val="center"/>
          </w:tcPr>
          <w:p>
            <w:pPr>
              <w:spacing w:line="400" w:lineRule="exact"/>
              <w:jc w:val="center"/>
              <w:rPr>
                <w:rFonts w:cs="Times New Roman" w:asciiTheme="minorEastAsia" w:hAnsiTheme="minorEastAsia"/>
                <w:color w:val="000000" w:themeColor="text1"/>
                <w:kern w:val="0"/>
                <w:szCs w:val="21"/>
                <w:highlight w:val="none"/>
              </w:rPr>
            </w:pPr>
          </w:p>
        </w:tc>
        <w:tc>
          <w:tcPr>
            <w:tcW w:w="1417" w:type="dxa"/>
            <w:vAlign w:val="center"/>
          </w:tcPr>
          <w:p>
            <w:pPr>
              <w:spacing w:line="400" w:lineRule="exact"/>
              <w:jc w:val="center"/>
              <w:rPr>
                <w:rFonts w:cs="Times New Roman" w:asciiTheme="minorEastAsia" w:hAnsiTheme="minorEastAsia"/>
                <w:color w:val="000000" w:themeColor="text1"/>
                <w:kern w:val="0"/>
                <w:szCs w:val="21"/>
                <w:highlight w:val="none"/>
              </w:rPr>
            </w:pPr>
          </w:p>
        </w:tc>
        <w:tc>
          <w:tcPr>
            <w:tcW w:w="1985" w:type="dxa"/>
            <w:vAlign w:val="center"/>
          </w:tcPr>
          <w:p>
            <w:pPr>
              <w:spacing w:line="400" w:lineRule="exact"/>
              <w:jc w:val="center"/>
              <w:rPr>
                <w:rFonts w:cs="Times New Roman" w:asciiTheme="minorEastAsia" w:hAnsiTheme="minorEastAsia"/>
                <w:color w:val="000000" w:themeColor="text1"/>
                <w:kern w:val="0"/>
                <w:szCs w:val="21"/>
                <w:highlight w:val="none"/>
              </w:rPr>
            </w:pPr>
          </w:p>
        </w:tc>
        <w:tc>
          <w:tcPr>
            <w:tcW w:w="1223" w:type="dxa"/>
            <w:vAlign w:val="center"/>
          </w:tcPr>
          <w:p>
            <w:pPr>
              <w:spacing w:line="400" w:lineRule="exact"/>
              <w:jc w:val="center"/>
              <w:rPr>
                <w:rFonts w:cs="Times New Roman" w:asciiTheme="minorEastAsia" w:hAnsiTheme="minorEastAsia"/>
                <w:color w:val="000000" w:themeColor="text1"/>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975" w:type="dxa"/>
            <w:vAlign w:val="center"/>
          </w:tcPr>
          <w:p>
            <w:pPr>
              <w:spacing w:line="400" w:lineRule="exact"/>
              <w:jc w:val="center"/>
              <w:rPr>
                <w:rFonts w:cs="Times New Roman" w:asciiTheme="minorEastAsia" w:hAnsiTheme="minorEastAsia"/>
                <w:b/>
                <w:bCs/>
                <w:color w:val="000000" w:themeColor="text1"/>
                <w:kern w:val="0"/>
                <w:szCs w:val="21"/>
                <w:highlight w:val="none"/>
              </w:rPr>
            </w:pPr>
            <w:r>
              <w:rPr>
                <w:rFonts w:hint="eastAsia" w:cs="Times New Roman" w:asciiTheme="minorEastAsia" w:hAnsiTheme="minorEastAsia"/>
                <w:b/>
                <w:bCs/>
                <w:color w:val="000000" w:themeColor="text1"/>
                <w:kern w:val="0"/>
                <w:szCs w:val="21"/>
                <w:highlight w:val="none"/>
              </w:rPr>
              <w:t>案例</w:t>
            </w:r>
            <w:r>
              <w:rPr>
                <w:rFonts w:cs="Times New Roman" w:asciiTheme="minorEastAsia" w:hAnsiTheme="minorEastAsia"/>
                <w:b/>
                <w:bCs/>
                <w:color w:val="000000" w:themeColor="text1"/>
                <w:kern w:val="0"/>
                <w:szCs w:val="21"/>
                <w:highlight w:val="none"/>
              </w:rPr>
              <w:t>3</w:t>
            </w:r>
          </w:p>
        </w:tc>
        <w:tc>
          <w:tcPr>
            <w:tcW w:w="1074" w:type="dxa"/>
            <w:vAlign w:val="center"/>
          </w:tcPr>
          <w:p>
            <w:pPr>
              <w:spacing w:line="400" w:lineRule="exact"/>
              <w:jc w:val="center"/>
              <w:rPr>
                <w:rFonts w:cs="Times New Roman" w:asciiTheme="minorEastAsia" w:hAnsiTheme="minorEastAsia"/>
                <w:color w:val="000000" w:themeColor="text1"/>
                <w:kern w:val="0"/>
                <w:szCs w:val="21"/>
                <w:highlight w:val="none"/>
              </w:rPr>
            </w:pPr>
          </w:p>
        </w:tc>
        <w:tc>
          <w:tcPr>
            <w:tcW w:w="1417" w:type="dxa"/>
            <w:vAlign w:val="center"/>
          </w:tcPr>
          <w:p>
            <w:pPr>
              <w:spacing w:line="400" w:lineRule="exact"/>
              <w:jc w:val="center"/>
              <w:rPr>
                <w:rFonts w:cs="Times New Roman" w:asciiTheme="minorEastAsia" w:hAnsiTheme="minorEastAsia"/>
                <w:color w:val="000000" w:themeColor="text1"/>
                <w:kern w:val="0"/>
                <w:szCs w:val="21"/>
                <w:highlight w:val="none"/>
              </w:rPr>
            </w:pPr>
          </w:p>
        </w:tc>
        <w:tc>
          <w:tcPr>
            <w:tcW w:w="1985" w:type="dxa"/>
            <w:vAlign w:val="center"/>
          </w:tcPr>
          <w:p>
            <w:pPr>
              <w:spacing w:line="400" w:lineRule="exact"/>
              <w:jc w:val="center"/>
              <w:rPr>
                <w:rFonts w:cs="Times New Roman" w:asciiTheme="minorEastAsia" w:hAnsiTheme="minorEastAsia"/>
                <w:color w:val="000000" w:themeColor="text1"/>
                <w:kern w:val="0"/>
                <w:szCs w:val="21"/>
                <w:highlight w:val="none"/>
              </w:rPr>
            </w:pPr>
          </w:p>
        </w:tc>
        <w:tc>
          <w:tcPr>
            <w:tcW w:w="1223" w:type="dxa"/>
            <w:vAlign w:val="center"/>
          </w:tcPr>
          <w:p>
            <w:pPr>
              <w:spacing w:line="400" w:lineRule="exact"/>
              <w:jc w:val="center"/>
              <w:rPr>
                <w:rFonts w:cs="Times New Roman" w:asciiTheme="minorEastAsia" w:hAnsiTheme="minorEastAsia"/>
                <w:color w:val="000000" w:themeColor="text1"/>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975" w:type="dxa"/>
            <w:vAlign w:val="center"/>
          </w:tcPr>
          <w:p>
            <w:pPr>
              <w:spacing w:line="400" w:lineRule="exact"/>
              <w:jc w:val="center"/>
              <w:rPr>
                <w:rFonts w:cs="Times New Roman" w:asciiTheme="minorEastAsia" w:hAnsiTheme="minorEastAsia"/>
                <w:b/>
                <w:bCs/>
                <w:color w:val="000000" w:themeColor="text1"/>
                <w:kern w:val="0"/>
                <w:szCs w:val="21"/>
                <w:highlight w:val="none"/>
              </w:rPr>
            </w:pPr>
            <w:r>
              <w:rPr>
                <w:rFonts w:hint="eastAsia" w:cs="Times New Roman" w:asciiTheme="minorEastAsia" w:hAnsiTheme="minorEastAsia"/>
                <w:b/>
                <w:bCs/>
                <w:color w:val="000000" w:themeColor="text1"/>
                <w:kern w:val="0"/>
                <w:szCs w:val="21"/>
                <w:highlight w:val="none"/>
              </w:rPr>
              <w:t>......</w:t>
            </w:r>
          </w:p>
        </w:tc>
        <w:tc>
          <w:tcPr>
            <w:tcW w:w="1074" w:type="dxa"/>
            <w:vAlign w:val="center"/>
          </w:tcPr>
          <w:p>
            <w:pPr>
              <w:spacing w:line="400" w:lineRule="exact"/>
              <w:jc w:val="center"/>
              <w:rPr>
                <w:rFonts w:cs="Times New Roman" w:asciiTheme="minorEastAsia" w:hAnsiTheme="minorEastAsia"/>
                <w:color w:val="000000" w:themeColor="text1"/>
                <w:kern w:val="0"/>
                <w:szCs w:val="21"/>
                <w:highlight w:val="none"/>
              </w:rPr>
            </w:pPr>
          </w:p>
        </w:tc>
        <w:tc>
          <w:tcPr>
            <w:tcW w:w="1417" w:type="dxa"/>
            <w:vAlign w:val="center"/>
          </w:tcPr>
          <w:p>
            <w:pPr>
              <w:spacing w:line="400" w:lineRule="exact"/>
              <w:jc w:val="center"/>
              <w:rPr>
                <w:rFonts w:cs="Times New Roman" w:asciiTheme="minorEastAsia" w:hAnsiTheme="minorEastAsia"/>
                <w:color w:val="000000" w:themeColor="text1"/>
                <w:kern w:val="0"/>
                <w:szCs w:val="21"/>
                <w:highlight w:val="none"/>
              </w:rPr>
            </w:pPr>
          </w:p>
        </w:tc>
        <w:tc>
          <w:tcPr>
            <w:tcW w:w="1985" w:type="dxa"/>
            <w:vAlign w:val="center"/>
          </w:tcPr>
          <w:p>
            <w:pPr>
              <w:spacing w:line="400" w:lineRule="exact"/>
              <w:jc w:val="center"/>
              <w:rPr>
                <w:rFonts w:cs="Times New Roman" w:asciiTheme="minorEastAsia" w:hAnsiTheme="minorEastAsia"/>
                <w:color w:val="000000" w:themeColor="text1"/>
                <w:kern w:val="0"/>
                <w:szCs w:val="21"/>
                <w:highlight w:val="none"/>
              </w:rPr>
            </w:pPr>
          </w:p>
        </w:tc>
        <w:tc>
          <w:tcPr>
            <w:tcW w:w="1223" w:type="dxa"/>
            <w:vAlign w:val="center"/>
          </w:tcPr>
          <w:p>
            <w:pPr>
              <w:spacing w:line="400" w:lineRule="exact"/>
              <w:jc w:val="center"/>
              <w:rPr>
                <w:rFonts w:cs="Times New Roman" w:asciiTheme="minorEastAsia" w:hAnsiTheme="minorEastAsia"/>
                <w:color w:val="000000" w:themeColor="text1"/>
                <w:kern w:val="0"/>
                <w:szCs w:val="21"/>
                <w:highlight w:val="none"/>
              </w:rPr>
            </w:pPr>
          </w:p>
        </w:tc>
      </w:tr>
    </w:tbl>
    <w:p>
      <w:pPr>
        <w:spacing w:line="360" w:lineRule="auto"/>
        <w:rPr>
          <w:rFonts w:cs="Times New Roman" w:asciiTheme="minorEastAsia" w:hAnsiTheme="minorEastAsia"/>
          <w:color w:val="000000" w:themeColor="text1"/>
          <w:szCs w:val="21"/>
          <w:highlight w:val="none"/>
        </w:rPr>
      </w:pPr>
      <w:r>
        <w:rPr>
          <w:rFonts w:hint="eastAsia" w:cs="Times New Roman" w:asciiTheme="minorEastAsia" w:hAnsiTheme="minorEastAsia"/>
          <w:color w:val="000000" w:themeColor="text1"/>
          <w:szCs w:val="21"/>
          <w:highlight w:val="none"/>
        </w:rPr>
        <w:t>说明：1、每个案例均须提供证明材料。案例证明材料的提供按招标文件相关要求执行。</w:t>
      </w:r>
    </w:p>
    <w:p>
      <w:pPr>
        <w:spacing w:line="360" w:lineRule="auto"/>
        <w:ind w:firstLine="630" w:firstLineChars="300"/>
        <w:rPr>
          <w:rFonts w:cs="Times New Roman" w:asciiTheme="minorEastAsia" w:hAnsiTheme="minorEastAsia"/>
          <w:color w:val="000000" w:themeColor="text1"/>
          <w:szCs w:val="21"/>
          <w:highlight w:val="none"/>
        </w:rPr>
      </w:pPr>
      <w:r>
        <w:rPr>
          <w:rFonts w:hint="eastAsia" w:cs="Times New Roman" w:asciiTheme="minorEastAsia" w:hAnsiTheme="minorEastAsia"/>
          <w:color w:val="000000" w:themeColor="text1"/>
          <w:szCs w:val="21"/>
          <w:highlight w:val="none"/>
        </w:rPr>
        <w:t>2、请投标人根据实际情况如实填写上述内容，可在此表基础上扩展并自行添加其他相关内容。</w:t>
      </w:r>
    </w:p>
    <w:p>
      <w:pPr>
        <w:spacing w:line="360" w:lineRule="auto"/>
        <w:ind w:firstLine="420" w:firstLineChars="200"/>
        <w:rPr>
          <w:rFonts w:cs="Times New Roman" w:asciiTheme="minorEastAsia" w:hAnsiTheme="minorEastAsia"/>
          <w:color w:val="000000" w:themeColor="text1"/>
          <w:szCs w:val="21"/>
          <w:highlight w:val="none"/>
        </w:rPr>
      </w:pPr>
    </w:p>
    <w:p>
      <w:pPr>
        <w:spacing w:line="360" w:lineRule="auto"/>
        <w:ind w:firstLine="420" w:firstLineChars="200"/>
        <w:rPr>
          <w:rFonts w:cs="Times New Roman" w:asciiTheme="minorEastAsia" w:hAnsiTheme="minorEastAsia"/>
          <w:color w:val="000000" w:themeColor="text1"/>
          <w:szCs w:val="21"/>
          <w:highlight w:val="none"/>
        </w:rPr>
      </w:pPr>
      <w:r>
        <w:rPr>
          <w:rFonts w:hint="eastAsia" w:cs="Times New Roman" w:asciiTheme="minorEastAsia" w:hAnsiTheme="minorEastAsia"/>
          <w:color w:val="000000" w:themeColor="text1"/>
          <w:szCs w:val="21"/>
          <w:highlight w:val="none"/>
        </w:rPr>
        <w:t>我公司承诺以上内容</w:t>
      </w:r>
      <w:r>
        <w:rPr>
          <w:rFonts w:hint="eastAsia" w:cs="Times New Roman" w:asciiTheme="minorEastAsia" w:hAnsiTheme="minorEastAsia"/>
          <w:color w:val="000000" w:themeColor="text1"/>
          <w:kern w:val="0"/>
          <w:szCs w:val="21"/>
          <w:highlight w:val="none"/>
          <w:u w:val="single"/>
        </w:rPr>
        <w:t>信息都是真实、可靠的。在评标及后续工作中若发现表中信息的真实性、可靠性存在弄虚作假等行为，招标人有权取消我司中标资格并没收我司投标保证金（或履约保证金），我司愿赔偿相应损失并承担一切法律责任。</w:t>
      </w:r>
    </w:p>
    <w:p>
      <w:pPr>
        <w:spacing w:line="360" w:lineRule="auto"/>
        <w:jc w:val="left"/>
        <w:rPr>
          <w:rFonts w:cs="Times New Roman" w:asciiTheme="minorEastAsia" w:hAnsiTheme="minorEastAsia"/>
          <w:color w:val="000000" w:themeColor="text1"/>
          <w:szCs w:val="21"/>
          <w:highlight w:val="none"/>
        </w:rPr>
      </w:pPr>
    </w:p>
    <w:p>
      <w:pPr>
        <w:spacing w:line="360" w:lineRule="auto"/>
        <w:jc w:val="left"/>
        <w:rPr>
          <w:rFonts w:cs="Times New Roman" w:asciiTheme="minorEastAsia" w:hAnsiTheme="minorEastAsia"/>
          <w:b/>
          <w:color w:val="000000" w:themeColor="text1"/>
          <w:szCs w:val="24"/>
          <w:highlight w:val="none"/>
        </w:rPr>
      </w:pPr>
      <w:r>
        <w:rPr>
          <w:rFonts w:hint="eastAsia" w:cs="Times New Roman" w:asciiTheme="minorEastAsia" w:hAnsiTheme="minorEastAsia"/>
          <w:b/>
          <w:color w:val="000000" w:themeColor="text1"/>
          <w:szCs w:val="24"/>
          <w:highlight w:val="none"/>
        </w:rPr>
        <w:t>投标人（公章）：</w:t>
      </w:r>
    </w:p>
    <w:p>
      <w:pPr>
        <w:spacing w:line="360" w:lineRule="auto"/>
        <w:rPr>
          <w:rFonts w:cs="Times New Roman" w:asciiTheme="minorEastAsia" w:hAnsiTheme="minorEastAsia"/>
          <w:b/>
          <w:color w:val="000000" w:themeColor="text1"/>
          <w:szCs w:val="24"/>
          <w:highlight w:val="none"/>
        </w:rPr>
      </w:pPr>
      <w:r>
        <w:rPr>
          <w:rFonts w:cs="Times New Roman" w:asciiTheme="minorEastAsia" w:hAnsiTheme="minorEastAsia"/>
          <w:b/>
          <w:color w:val="000000" w:themeColor="text1"/>
          <w:szCs w:val="24"/>
          <w:highlight w:val="none"/>
        </w:rPr>
        <w:t>法定代表人或其委托代理人：（盖章或签字）</w:t>
      </w:r>
    </w:p>
    <w:p>
      <w:pPr>
        <w:spacing w:line="360" w:lineRule="auto"/>
        <w:ind w:firstLine="517" w:firstLineChars="245"/>
        <w:rPr>
          <w:rFonts w:cs="Times New Roman" w:asciiTheme="minorEastAsia" w:hAnsiTheme="minorEastAsia"/>
          <w:b/>
          <w:color w:val="000000" w:themeColor="text1"/>
          <w:szCs w:val="24"/>
          <w:highlight w:val="none"/>
        </w:rPr>
      </w:pPr>
      <w:r>
        <w:rPr>
          <w:rFonts w:cs="Times New Roman" w:asciiTheme="minorEastAsia" w:hAnsiTheme="minorEastAsia"/>
          <w:b/>
          <w:color w:val="000000" w:themeColor="text1"/>
          <w:szCs w:val="24"/>
          <w:highlight w:val="none"/>
        </w:rPr>
        <w:t>年</w:t>
      </w:r>
      <w:r>
        <w:rPr>
          <w:rFonts w:hint="eastAsia" w:cs="Times New Roman" w:asciiTheme="minorEastAsia" w:hAnsiTheme="minorEastAsia"/>
          <w:b/>
          <w:color w:val="000000" w:themeColor="text1"/>
          <w:szCs w:val="24"/>
          <w:highlight w:val="none"/>
        </w:rPr>
        <w:t xml:space="preserve">  </w:t>
      </w:r>
      <w:r>
        <w:rPr>
          <w:rFonts w:cs="Times New Roman" w:asciiTheme="minorEastAsia" w:hAnsiTheme="minorEastAsia"/>
          <w:b/>
          <w:color w:val="000000" w:themeColor="text1"/>
          <w:szCs w:val="24"/>
          <w:highlight w:val="none"/>
        </w:rPr>
        <w:t>月</w:t>
      </w:r>
      <w:r>
        <w:rPr>
          <w:rFonts w:hint="eastAsia" w:cs="Times New Roman" w:asciiTheme="minorEastAsia" w:hAnsiTheme="minorEastAsia"/>
          <w:b/>
          <w:color w:val="000000" w:themeColor="text1"/>
          <w:szCs w:val="24"/>
          <w:highlight w:val="none"/>
        </w:rPr>
        <w:t xml:space="preserve">  </w:t>
      </w:r>
      <w:r>
        <w:rPr>
          <w:rFonts w:cs="Times New Roman" w:asciiTheme="minorEastAsia" w:hAnsiTheme="minorEastAsia"/>
          <w:b/>
          <w:color w:val="000000" w:themeColor="text1"/>
          <w:szCs w:val="24"/>
          <w:highlight w:val="none"/>
        </w:rPr>
        <w:t>日</w:t>
      </w:r>
    </w:p>
    <w:p>
      <w:pPr>
        <w:spacing w:line="240" w:lineRule="exact"/>
        <w:rPr>
          <w:rFonts w:cs="宋体" w:asciiTheme="minorEastAsia" w:hAnsiTheme="minorEastAsia"/>
          <w:color w:val="000000" w:themeColor="text1"/>
          <w:sz w:val="24"/>
          <w:szCs w:val="24"/>
          <w:highlight w:val="none"/>
        </w:rPr>
      </w:pPr>
    </w:p>
    <w:p>
      <w:pPr>
        <w:spacing w:line="240" w:lineRule="exact"/>
        <w:rPr>
          <w:rFonts w:cs="宋体" w:asciiTheme="minorEastAsia" w:hAnsiTheme="minorEastAsia"/>
          <w:color w:val="000000" w:themeColor="text1"/>
          <w:sz w:val="24"/>
          <w:szCs w:val="24"/>
          <w:highlight w:val="none"/>
        </w:rPr>
      </w:pPr>
    </w:p>
    <w:p>
      <w:pPr>
        <w:spacing w:line="240" w:lineRule="exact"/>
        <w:rPr>
          <w:rFonts w:cs="宋体" w:asciiTheme="minorEastAsia" w:hAnsiTheme="minorEastAsia"/>
          <w:color w:val="000000" w:themeColor="text1"/>
          <w:sz w:val="24"/>
          <w:szCs w:val="24"/>
          <w:highlight w:val="none"/>
        </w:rPr>
      </w:pPr>
    </w:p>
    <w:p>
      <w:pPr>
        <w:spacing w:line="240" w:lineRule="exact"/>
        <w:rPr>
          <w:rFonts w:cs="宋体" w:asciiTheme="minorEastAsia" w:hAnsiTheme="minorEastAsia"/>
          <w:color w:val="000000" w:themeColor="text1"/>
          <w:sz w:val="24"/>
          <w:szCs w:val="24"/>
          <w:highlight w:val="none"/>
        </w:rPr>
      </w:pPr>
    </w:p>
    <w:p>
      <w:pPr>
        <w:spacing w:line="240" w:lineRule="exact"/>
        <w:rPr>
          <w:rFonts w:cs="宋体" w:asciiTheme="minorEastAsia" w:hAnsiTheme="minorEastAsia"/>
          <w:color w:val="000000" w:themeColor="text1"/>
          <w:sz w:val="24"/>
          <w:szCs w:val="24"/>
          <w:highlight w:val="none"/>
        </w:rPr>
      </w:pPr>
    </w:p>
    <w:p>
      <w:pPr>
        <w:spacing w:line="240" w:lineRule="exact"/>
        <w:rPr>
          <w:rFonts w:cs="宋体" w:asciiTheme="minorEastAsia" w:hAnsiTheme="minorEastAsia"/>
          <w:color w:val="000000" w:themeColor="text1"/>
          <w:sz w:val="24"/>
          <w:szCs w:val="24"/>
          <w:highlight w:val="none"/>
        </w:rPr>
      </w:pPr>
    </w:p>
    <w:p>
      <w:pPr>
        <w:spacing w:line="240" w:lineRule="exact"/>
        <w:rPr>
          <w:rFonts w:cs="宋体" w:asciiTheme="minorEastAsia" w:hAnsiTheme="minorEastAsia"/>
          <w:color w:val="000000" w:themeColor="text1"/>
          <w:sz w:val="24"/>
          <w:szCs w:val="24"/>
          <w:highlight w:val="none"/>
        </w:rPr>
      </w:pPr>
    </w:p>
    <w:p>
      <w:pPr>
        <w:spacing w:line="240" w:lineRule="exact"/>
        <w:rPr>
          <w:rFonts w:cs="宋体" w:asciiTheme="minorEastAsia" w:hAnsiTheme="minorEastAsia"/>
          <w:color w:val="000000" w:themeColor="text1"/>
          <w:sz w:val="24"/>
          <w:szCs w:val="24"/>
          <w:highlight w:val="none"/>
        </w:rPr>
      </w:pPr>
    </w:p>
    <w:p>
      <w:pPr>
        <w:spacing w:line="240" w:lineRule="exact"/>
        <w:rPr>
          <w:rFonts w:cs="宋体" w:asciiTheme="minorEastAsia" w:hAnsiTheme="minorEastAsia"/>
          <w:color w:val="000000" w:themeColor="text1"/>
          <w:sz w:val="24"/>
          <w:szCs w:val="24"/>
          <w:highlight w:val="none"/>
        </w:rPr>
      </w:pPr>
    </w:p>
    <w:p>
      <w:pPr>
        <w:spacing w:line="240" w:lineRule="exact"/>
        <w:rPr>
          <w:rFonts w:cs="宋体" w:asciiTheme="minorEastAsia" w:hAnsiTheme="minorEastAsia"/>
          <w:color w:val="000000" w:themeColor="text1"/>
          <w:sz w:val="24"/>
          <w:szCs w:val="24"/>
          <w:highlight w:val="none"/>
        </w:rPr>
      </w:pPr>
    </w:p>
    <w:p>
      <w:pPr>
        <w:spacing w:line="240" w:lineRule="exact"/>
        <w:rPr>
          <w:rFonts w:cs="宋体" w:asciiTheme="minorEastAsia" w:hAnsiTheme="minorEastAsia"/>
          <w:color w:val="000000" w:themeColor="text1"/>
          <w:sz w:val="24"/>
          <w:szCs w:val="24"/>
          <w:highlight w:val="none"/>
        </w:rPr>
      </w:pPr>
      <w:r>
        <w:rPr>
          <w:rFonts w:hint="eastAsia" w:cs="宋体" w:asciiTheme="minorEastAsia" w:hAnsiTheme="minorEastAsia"/>
          <w:color w:val="000000" w:themeColor="text1"/>
          <w:sz w:val="24"/>
          <w:szCs w:val="24"/>
          <w:highlight w:val="none"/>
        </w:rPr>
        <w:br w:type="page"/>
      </w:r>
    </w:p>
    <w:p>
      <w:pPr>
        <w:spacing w:line="240" w:lineRule="exact"/>
        <w:rPr>
          <w:rFonts w:cs="宋体" w:asciiTheme="minorEastAsia" w:hAnsiTheme="minorEastAsia"/>
          <w:color w:val="000000" w:themeColor="text1"/>
          <w:sz w:val="24"/>
          <w:szCs w:val="24"/>
          <w:highlight w:val="none"/>
        </w:rPr>
      </w:pPr>
    </w:p>
    <w:p>
      <w:pPr>
        <w:rPr>
          <w:color w:val="000000" w:themeColor="text1"/>
          <w:highlight w:val="none"/>
        </w:rPr>
      </w:pPr>
      <w:r>
        <w:rPr>
          <w:rFonts w:hint="eastAsia"/>
          <w:color w:val="000000" w:themeColor="text1"/>
          <w:highlight w:val="none"/>
        </w:rPr>
        <w:t>表2：</w:t>
      </w:r>
    </w:p>
    <w:p>
      <w:pPr>
        <w:spacing w:line="240" w:lineRule="exact"/>
        <w:jc w:val="center"/>
        <w:rPr>
          <w:rFonts w:cs="宋体" w:asciiTheme="minorEastAsia" w:hAnsiTheme="minorEastAsia"/>
          <w:b/>
          <w:color w:val="000000" w:themeColor="text1"/>
          <w:sz w:val="24"/>
          <w:szCs w:val="24"/>
          <w:highlight w:val="none"/>
        </w:rPr>
      </w:pPr>
      <w:r>
        <w:rPr>
          <w:rFonts w:hint="eastAsia" w:cs="宋体" w:asciiTheme="minorEastAsia" w:hAnsiTheme="minorEastAsia"/>
          <w:b/>
          <w:color w:val="000000" w:themeColor="text1"/>
          <w:sz w:val="24"/>
          <w:szCs w:val="24"/>
          <w:highlight w:val="none"/>
        </w:rPr>
        <w:t>评分要求案例评审表</w:t>
      </w:r>
    </w:p>
    <w:p>
      <w:pPr>
        <w:spacing w:line="360" w:lineRule="auto"/>
        <w:ind w:left="-283" w:leftChars="-135" w:right="-57" w:rightChars="-27"/>
        <w:jc w:val="center"/>
        <w:rPr>
          <w:rFonts w:cs="Times New Roman" w:asciiTheme="minorEastAsia" w:hAnsiTheme="minorEastAsia"/>
          <w:b/>
          <w:color w:val="000000" w:themeColor="text1"/>
          <w:kern w:val="0"/>
          <w:szCs w:val="21"/>
          <w:highlight w:val="none"/>
        </w:rPr>
      </w:pPr>
      <w:r>
        <w:rPr>
          <w:rFonts w:hint="eastAsia" w:cs="Times New Roman" w:asciiTheme="minorEastAsia" w:hAnsiTheme="minorEastAsia"/>
          <w:b/>
          <w:color w:val="000000" w:themeColor="text1"/>
          <w:kern w:val="0"/>
          <w:szCs w:val="21"/>
          <w:highlight w:val="none"/>
        </w:rPr>
        <w:t>（请投标人根据招标文件要求如实认真填写附件相关表格资料）</w:t>
      </w:r>
    </w:p>
    <w:tbl>
      <w:tblPr>
        <w:tblStyle w:val="55"/>
        <w:tblW w:w="6674" w:type="dxa"/>
        <w:jc w:val="center"/>
        <w:tblInd w:w="-10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
        <w:gridCol w:w="1074"/>
        <w:gridCol w:w="1417"/>
        <w:gridCol w:w="1985"/>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975" w:type="dxa"/>
            <w:shd w:val="clear" w:color="000000" w:fill="FFFFFF"/>
            <w:vAlign w:val="center"/>
          </w:tcPr>
          <w:p>
            <w:pPr>
              <w:spacing w:line="400" w:lineRule="exact"/>
              <w:jc w:val="center"/>
              <w:rPr>
                <w:rFonts w:cs="Times New Roman" w:asciiTheme="minorEastAsia" w:hAnsiTheme="minorEastAsia"/>
                <w:b/>
                <w:bCs/>
                <w:color w:val="000000" w:themeColor="text1"/>
                <w:kern w:val="0"/>
                <w:szCs w:val="21"/>
                <w:highlight w:val="none"/>
              </w:rPr>
            </w:pPr>
            <w:r>
              <w:rPr>
                <w:rFonts w:hint="eastAsia" w:cs="Times New Roman" w:asciiTheme="minorEastAsia" w:hAnsiTheme="minorEastAsia"/>
                <w:b/>
                <w:bCs/>
                <w:color w:val="000000" w:themeColor="text1"/>
                <w:kern w:val="0"/>
                <w:szCs w:val="21"/>
                <w:highlight w:val="none"/>
              </w:rPr>
              <w:t>序号</w:t>
            </w:r>
          </w:p>
        </w:tc>
        <w:tc>
          <w:tcPr>
            <w:tcW w:w="1074" w:type="dxa"/>
            <w:shd w:val="clear" w:color="000000" w:fill="FFFFFF"/>
            <w:vAlign w:val="center"/>
          </w:tcPr>
          <w:p>
            <w:pPr>
              <w:spacing w:line="400" w:lineRule="exact"/>
              <w:jc w:val="center"/>
              <w:rPr>
                <w:rFonts w:cs="Times New Roman" w:asciiTheme="minorEastAsia" w:hAnsiTheme="minorEastAsia"/>
                <w:b/>
                <w:bCs/>
                <w:color w:val="000000" w:themeColor="text1"/>
                <w:kern w:val="0"/>
                <w:szCs w:val="21"/>
                <w:highlight w:val="none"/>
              </w:rPr>
            </w:pPr>
            <w:r>
              <w:rPr>
                <w:rFonts w:hint="eastAsia" w:cs="Times New Roman" w:asciiTheme="minorEastAsia" w:hAnsiTheme="minorEastAsia"/>
                <w:b/>
                <w:bCs/>
                <w:color w:val="000000" w:themeColor="text1"/>
                <w:kern w:val="0"/>
                <w:szCs w:val="21"/>
                <w:highlight w:val="none"/>
              </w:rPr>
              <w:t>合同签订时间</w:t>
            </w:r>
          </w:p>
        </w:tc>
        <w:tc>
          <w:tcPr>
            <w:tcW w:w="1417" w:type="dxa"/>
            <w:shd w:val="clear" w:color="000000" w:fill="FFFFFF"/>
            <w:vAlign w:val="center"/>
          </w:tcPr>
          <w:p>
            <w:pPr>
              <w:spacing w:line="400" w:lineRule="exact"/>
              <w:jc w:val="center"/>
              <w:rPr>
                <w:rFonts w:cs="Times New Roman" w:asciiTheme="minorEastAsia" w:hAnsiTheme="minorEastAsia"/>
                <w:b/>
                <w:bCs/>
                <w:color w:val="000000" w:themeColor="text1"/>
                <w:kern w:val="0"/>
                <w:szCs w:val="21"/>
                <w:highlight w:val="none"/>
              </w:rPr>
            </w:pPr>
            <w:r>
              <w:rPr>
                <w:rFonts w:hint="eastAsia" w:cs="Times New Roman" w:asciiTheme="minorEastAsia" w:hAnsiTheme="minorEastAsia"/>
                <w:b/>
                <w:bCs/>
                <w:color w:val="000000" w:themeColor="text1"/>
                <w:kern w:val="0"/>
                <w:szCs w:val="21"/>
                <w:highlight w:val="none"/>
              </w:rPr>
              <w:t>项目名称</w:t>
            </w:r>
          </w:p>
        </w:tc>
        <w:tc>
          <w:tcPr>
            <w:tcW w:w="1985" w:type="dxa"/>
            <w:shd w:val="clear" w:color="000000" w:fill="FFFFFF"/>
            <w:vAlign w:val="center"/>
          </w:tcPr>
          <w:p>
            <w:pPr>
              <w:spacing w:line="400" w:lineRule="exact"/>
              <w:jc w:val="center"/>
              <w:rPr>
                <w:rFonts w:cs="Times New Roman" w:asciiTheme="minorEastAsia" w:hAnsiTheme="minorEastAsia"/>
                <w:b/>
                <w:bCs/>
                <w:color w:val="000000" w:themeColor="text1"/>
                <w:kern w:val="0"/>
                <w:szCs w:val="21"/>
                <w:highlight w:val="none"/>
              </w:rPr>
            </w:pPr>
            <w:r>
              <w:rPr>
                <w:rFonts w:hint="eastAsia" w:cs="Times New Roman" w:asciiTheme="minorEastAsia" w:hAnsiTheme="minorEastAsia"/>
                <w:b/>
                <w:bCs/>
                <w:color w:val="000000" w:themeColor="text1"/>
                <w:kern w:val="0"/>
                <w:szCs w:val="21"/>
                <w:highlight w:val="none"/>
              </w:rPr>
              <w:t>合同采购方名称、联系人及联系方式</w:t>
            </w:r>
          </w:p>
        </w:tc>
        <w:tc>
          <w:tcPr>
            <w:tcW w:w="1223" w:type="dxa"/>
            <w:shd w:val="clear" w:color="000000" w:fill="FFFFFF"/>
            <w:vAlign w:val="center"/>
          </w:tcPr>
          <w:p>
            <w:pPr>
              <w:spacing w:line="400" w:lineRule="exact"/>
              <w:jc w:val="center"/>
              <w:rPr>
                <w:rFonts w:cs="Times New Roman" w:asciiTheme="minorEastAsia" w:hAnsiTheme="minorEastAsia"/>
                <w:b/>
                <w:bCs/>
                <w:color w:val="000000" w:themeColor="text1"/>
                <w:kern w:val="0"/>
                <w:szCs w:val="21"/>
                <w:highlight w:val="none"/>
              </w:rPr>
            </w:pPr>
            <w:r>
              <w:rPr>
                <w:rFonts w:hint="eastAsia" w:cs="Times New Roman" w:asciiTheme="minorEastAsia" w:hAnsiTheme="minorEastAsia"/>
                <w:b/>
                <w:bCs/>
                <w:color w:val="000000" w:themeColor="text1"/>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975" w:type="dxa"/>
            <w:vAlign w:val="center"/>
          </w:tcPr>
          <w:p>
            <w:pPr>
              <w:spacing w:line="400" w:lineRule="exact"/>
              <w:jc w:val="center"/>
              <w:rPr>
                <w:rFonts w:cs="Times New Roman" w:asciiTheme="minorEastAsia" w:hAnsiTheme="minorEastAsia"/>
                <w:b/>
                <w:bCs/>
                <w:color w:val="000000" w:themeColor="text1"/>
                <w:kern w:val="0"/>
                <w:szCs w:val="21"/>
                <w:highlight w:val="none"/>
              </w:rPr>
            </w:pPr>
            <w:r>
              <w:rPr>
                <w:rFonts w:hint="eastAsia" w:cs="Times New Roman" w:asciiTheme="minorEastAsia" w:hAnsiTheme="minorEastAsia"/>
                <w:b/>
                <w:bCs/>
                <w:color w:val="000000" w:themeColor="text1"/>
                <w:kern w:val="0"/>
                <w:szCs w:val="21"/>
                <w:highlight w:val="none"/>
              </w:rPr>
              <w:t>案例</w:t>
            </w:r>
            <w:r>
              <w:rPr>
                <w:rFonts w:cs="Times New Roman" w:asciiTheme="minorEastAsia" w:hAnsiTheme="minorEastAsia"/>
                <w:b/>
                <w:bCs/>
                <w:color w:val="000000" w:themeColor="text1"/>
                <w:kern w:val="0"/>
                <w:szCs w:val="21"/>
                <w:highlight w:val="none"/>
              </w:rPr>
              <w:t>1</w:t>
            </w:r>
          </w:p>
        </w:tc>
        <w:tc>
          <w:tcPr>
            <w:tcW w:w="1074" w:type="dxa"/>
            <w:vAlign w:val="center"/>
          </w:tcPr>
          <w:p>
            <w:pPr>
              <w:spacing w:line="400" w:lineRule="exact"/>
              <w:jc w:val="center"/>
              <w:rPr>
                <w:rFonts w:cs="Times New Roman" w:asciiTheme="minorEastAsia" w:hAnsiTheme="minorEastAsia"/>
                <w:color w:val="000000" w:themeColor="text1"/>
                <w:kern w:val="0"/>
                <w:szCs w:val="21"/>
                <w:highlight w:val="none"/>
              </w:rPr>
            </w:pPr>
          </w:p>
        </w:tc>
        <w:tc>
          <w:tcPr>
            <w:tcW w:w="1417" w:type="dxa"/>
            <w:vAlign w:val="center"/>
          </w:tcPr>
          <w:p>
            <w:pPr>
              <w:spacing w:line="400" w:lineRule="exact"/>
              <w:jc w:val="center"/>
              <w:rPr>
                <w:rFonts w:cs="Times New Roman" w:asciiTheme="minorEastAsia" w:hAnsiTheme="minorEastAsia"/>
                <w:color w:val="000000" w:themeColor="text1"/>
                <w:kern w:val="0"/>
                <w:szCs w:val="21"/>
                <w:highlight w:val="none"/>
              </w:rPr>
            </w:pPr>
          </w:p>
        </w:tc>
        <w:tc>
          <w:tcPr>
            <w:tcW w:w="1985" w:type="dxa"/>
            <w:vAlign w:val="center"/>
          </w:tcPr>
          <w:p>
            <w:pPr>
              <w:spacing w:line="400" w:lineRule="exact"/>
              <w:jc w:val="center"/>
              <w:rPr>
                <w:rFonts w:cs="Times New Roman" w:asciiTheme="minorEastAsia" w:hAnsiTheme="minorEastAsia"/>
                <w:color w:val="000000" w:themeColor="text1"/>
                <w:kern w:val="0"/>
                <w:szCs w:val="21"/>
                <w:highlight w:val="none"/>
              </w:rPr>
            </w:pPr>
          </w:p>
        </w:tc>
        <w:tc>
          <w:tcPr>
            <w:tcW w:w="1223" w:type="dxa"/>
            <w:vAlign w:val="center"/>
          </w:tcPr>
          <w:p>
            <w:pPr>
              <w:spacing w:line="400" w:lineRule="exact"/>
              <w:jc w:val="center"/>
              <w:rPr>
                <w:rFonts w:cs="Times New Roman" w:asciiTheme="minorEastAsia" w:hAnsiTheme="minorEastAsia"/>
                <w:color w:val="000000" w:themeColor="text1"/>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975" w:type="dxa"/>
            <w:vAlign w:val="center"/>
          </w:tcPr>
          <w:p>
            <w:pPr>
              <w:spacing w:line="400" w:lineRule="exact"/>
              <w:jc w:val="center"/>
              <w:rPr>
                <w:rFonts w:cs="Times New Roman" w:asciiTheme="minorEastAsia" w:hAnsiTheme="minorEastAsia"/>
                <w:b/>
                <w:bCs/>
                <w:color w:val="000000" w:themeColor="text1"/>
                <w:kern w:val="0"/>
                <w:szCs w:val="21"/>
                <w:highlight w:val="none"/>
              </w:rPr>
            </w:pPr>
            <w:r>
              <w:rPr>
                <w:rFonts w:hint="eastAsia" w:cs="Times New Roman" w:asciiTheme="minorEastAsia" w:hAnsiTheme="minorEastAsia"/>
                <w:b/>
                <w:bCs/>
                <w:color w:val="000000" w:themeColor="text1"/>
                <w:kern w:val="0"/>
                <w:szCs w:val="21"/>
                <w:highlight w:val="none"/>
              </w:rPr>
              <w:t>案例</w:t>
            </w:r>
            <w:r>
              <w:rPr>
                <w:rFonts w:cs="Times New Roman" w:asciiTheme="minorEastAsia" w:hAnsiTheme="minorEastAsia"/>
                <w:b/>
                <w:bCs/>
                <w:color w:val="000000" w:themeColor="text1"/>
                <w:kern w:val="0"/>
                <w:szCs w:val="21"/>
                <w:highlight w:val="none"/>
              </w:rPr>
              <w:t>2</w:t>
            </w:r>
          </w:p>
        </w:tc>
        <w:tc>
          <w:tcPr>
            <w:tcW w:w="1074" w:type="dxa"/>
            <w:vAlign w:val="center"/>
          </w:tcPr>
          <w:p>
            <w:pPr>
              <w:spacing w:line="400" w:lineRule="exact"/>
              <w:jc w:val="center"/>
              <w:rPr>
                <w:rFonts w:cs="Times New Roman" w:asciiTheme="minorEastAsia" w:hAnsiTheme="minorEastAsia"/>
                <w:color w:val="000000" w:themeColor="text1"/>
                <w:kern w:val="0"/>
                <w:szCs w:val="21"/>
                <w:highlight w:val="none"/>
              </w:rPr>
            </w:pPr>
          </w:p>
        </w:tc>
        <w:tc>
          <w:tcPr>
            <w:tcW w:w="1417" w:type="dxa"/>
            <w:vAlign w:val="center"/>
          </w:tcPr>
          <w:p>
            <w:pPr>
              <w:spacing w:line="400" w:lineRule="exact"/>
              <w:jc w:val="center"/>
              <w:rPr>
                <w:rFonts w:cs="Times New Roman" w:asciiTheme="minorEastAsia" w:hAnsiTheme="minorEastAsia"/>
                <w:color w:val="000000" w:themeColor="text1"/>
                <w:kern w:val="0"/>
                <w:szCs w:val="21"/>
                <w:highlight w:val="none"/>
              </w:rPr>
            </w:pPr>
          </w:p>
        </w:tc>
        <w:tc>
          <w:tcPr>
            <w:tcW w:w="1985" w:type="dxa"/>
            <w:vAlign w:val="center"/>
          </w:tcPr>
          <w:p>
            <w:pPr>
              <w:spacing w:line="400" w:lineRule="exact"/>
              <w:jc w:val="center"/>
              <w:rPr>
                <w:rFonts w:cs="Times New Roman" w:asciiTheme="minorEastAsia" w:hAnsiTheme="minorEastAsia"/>
                <w:color w:val="000000" w:themeColor="text1"/>
                <w:kern w:val="0"/>
                <w:szCs w:val="21"/>
                <w:highlight w:val="none"/>
              </w:rPr>
            </w:pPr>
          </w:p>
        </w:tc>
        <w:tc>
          <w:tcPr>
            <w:tcW w:w="1223" w:type="dxa"/>
            <w:vAlign w:val="center"/>
          </w:tcPr>
          <w:p>
            <w:pPr>
              <w:spacing w:line="400" w:lineRule="exact"/>
              <w:jc w:val="center"/>
              <w:rPr>
                <w:rFonts w:cs="Times New Roman" w:asciiTheme="minorEastAsia" w:hAnsiTheme="minorEastAsia"/>
                <w:color w:val="000000" w:themeColor="text1"/>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975" w:type="dxa"/>
            <w:vAlign w:val="center"/>
          </w:tcPr>
          <w:p>
            <w:pPr>
              <w:spacing w:line="400" w:lineRule="exact"/>
              <w:jc w:val="center"/>
              <w:rPr>
                <w:rFonts w:cs="Times New Roman" w:asciiTheme="minorEastAsia" w:hAnsiTheme="minorEastAsia"/>
                <w:b/>
                <w:bCs/>
                <w:color w:val="000000" w:themeColor="text1"/>
                <w:kern w:val="0"/>
                <w:szCs w:val="21"/>
                <w:highlight w:val="none"/>
              </w:rPr>
            </w:pPr>
            <w:r>
              <w:rPr>
                <w:rFonts w:hint="eastAsia" w:cs="Times New Roman" w:asciiTheme="minorEastAsia" w:hAnsiTheme="minorEastAsia"/>
                <w:b/>
                <w:bCs/>
                <w:color w:val="000000" w:themeColor="text1"/>
                <w:kern w:val="0"/>
                <w:szCs w:val="21"/>
                <w:highlight w:val="none"/>
              </w:rPr>
              <w:t>案例</w:t>
            </w:r>
            <w:r>
              <w:rPr>
                <w:rFonts w:cs="Times New Roman" w:asciiTheme="minorEastAsia" w:hAnsiTheme="minorEastAsia"/>
                <w:b/>
                <w:bCs/>
                <w:color w:val="000000" w:themeColor="text1"/>
                <w:kern w:val="0"/>
                <w:szCs w:val="21"/>
                <w:highlight w:val="none"/>
              </w:rPr>
              <w:t>3</w:t>
            </w:r>
          </w:p>
        </w:tc>
        <w:tc>
          <w:tcPr>
            <w:tcW w:w="1074" w:type="dxa"/>
            <w:vAlign w:val="center"/>
          </w:tcPr>
          <w:p>
            <w:pPr>
              <w:spacing w:line="400" w:lineRule="exact"/>
              <w:jc w:val="center"/>
              <w:rPr>
                <w:rFonts w:cs="Times New Roman" w:asciiTheme="minorEastAsia" w:hAnsiTheme="minorEastAsia"/>
                <w:color w:val="000000" w:themeColor="text1"/>
                <w:kern w:val="0"/>
                <w:szCs w:val="21"/>
                <w:highlight w:val="none"/>
              </w:rPr>
            </w:pPr>
          </w:p>
        </w:tc>
        <w:tc>
          <w:tcPr>
            <w:tcW w:w="1417" w:type="dxa"/>
            <w:vAlign w:val="center"/>
          </w:tcPr>
          <w:p>
            <w:pPr>
              <w:spacing w:line="400" w:lineRule="exact"/>
              <w:jc w:val="center"/>
              <w:rPr>
                <w:rFonts w:cs="Times New Roman" w:asciiTheme="minorEastAsia" w:hAnsiTheme="minorEastAsia"/>
                <w:color w:val="000000" w:themeColor="text1"/>
                <w:kern w:val="0"/>
                <w:szCs w:val="21"/>
                <w:highlight w:val="none"/>
              </w:rPr>
            </w:pPr>
          </w:p>
        </w:tc>
        <w:tc>
          <w:tcPr>
            <w:tcW w:w="1985" w:type="dxa"/>
            <w:vAlign w:val="center"/>
          </w:tcPr>
          <w:p>
            <w:pPr>
              <w:spacing w:line="400" w:lineRule="exact"/>
              <w:jc w:val="center"/>
              <w:rPr>
                <w:rFonts w:cs="Times New Roman" w:asciiTheme="minorEastAsia" w:hAnsiTheme="minorEastAsia"/>
                <w:color w:val="000000" w:themeColor="text1"/>
                <w:kern w:val="0"/>
                <w:szCs w:val="21"/>
                <w:highlight w:val="none"/>
              </w:rPr>
            </w:pPr>
          </w:p>
        </w:tc>
        <w:tc>
          <w:tcPr>
            <w:tcW w:w="1223" w:type="dxa"/>
            <w:vAlign w:val="center"/>
          </w:tcPr>
          <w:p>
            <w:pPr>
              <w:spacing w:line="400" w:lineRule="exact"/>
              <w:jc w:val="center"/>
              <w:rPr>
                <w:rFonts w:cs="Times New Roman" w:asciiTheme="minorEastAsia" w:hAnsiTheme="minorEastAsia"/>
                <w:color w:val="000000" w:themeColor="text1"/>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975" w:type="dxa"/>
            <w:vAlign w:val="center"/>
          </w:tcPr>
          <w:p>
            <w:pPr>
              <w:spacing w:line="400" w:lineRule="exact"/>
              <w:jc w:val="center"/>
              <w:rPr>
                <w:rFonts w:cs="Times New Roman" w:asciiTheme="minorEastAsia" w:hAnsiTheme="minorEastAsia"/>
                <w:b/>
                <w:bCs/>
                <w:color w:val="000000" w:themeColor="text1"/>
                <w:kern w:val="0"/>
                <w:szCs w:val="21"/>
                <w:highlight w:val="none"/>
              </w:rPr>
            </w:pPr>
            <w:r>
              <w:rPr>
                <w:rFonts w:hint="eastAsia" w:cs="Times New Roman" w:asciiTheme="minorEastAsia" w:hAnsiTheme="minorEastAsia"/>
                <w:b/>
                <w:bCs/>
                <w:color w:val="000000" w:themeColor="text1"/>
                <w:kern w:val="0"/>
                <w:szCs w:val="21"/>
                <w:highlight w:val="none"/>
              </w:rPr>
              <w:t>......</w:t>
            </w:r>
          </w:p>
        </w:tc>
        <w:tc>
          <w:tcPr>
            <w:tcW w:w="1074" w:type="dxa"/>
            <w:vAlign w:val="center"/>
          </w:tcPr>
          <w:p>
            <w:pPr>
              <w:spacing w:line="400" w:lineRule="exact"/>
              <w:jc w:val="center"/>
              <w:rPr>
                <w:rFonts w:cs="Times New Roman" w:asciiTheme="minorEastAsia" w:hAnsiTheme="minorEastAsia"/>
                <w:color w:val="000000" w:themeColor="text1"/>
                <w:kern w:val="0"/>
                <w:szCs w:val="21"/>
                <w:highlight w:val="none"/>
              </w:rPr>
            </w:pPr>
          </w:p>
        </w:tc>
        <w:tc>
          <w:tcPr>
            <w:tcW w:w="1417" w:type="dxa"/>
            <w:vAlign w:val="center"/>
          </w:tcPr>
          <w:p>
            <w:pPr>
              <w:spacing w:line="400" w:lineRule="exact"/>
              <w:jc w:val="center"/>
              <w:rPr>
                <w:rFonts w:cs="Times New Roman" w:asciiTheme="minorEastAsia" w:hAnsiTheme="minorEastAsia"/>
                <w:color w:val="000000" w:themeColor="text1"/>
                <w:kern w:val="0"/>
                <w:szCs w:val="21"/>
                <w:highlight w:val="none"/>
              </w:rPr>
            </w:pPr>
          </w:p>
        </w:tc>
        <w:tc>
          <w:tcPr>
            <w:tcW w:w="1985" w:type="dxa"/>
            <w:vAlign w:val="center"/>
          </w:tcPr>
          <w:p>
            <w:pPr>
              <w:spacing w:line="400" w:lineRule="exact"/>
              <w:jc w:val="center"/>
              <w:rPr>
                <w:rFonts w:cs="Times New Roman" w:asciiTheme="minorEastAsia" w:hAnsiTheme="minorEastAsia"/>
                <w:color w:val="000000" w:themeColor="text1"/>
                <w:kern w:val="0"/>
                <w:szCs w:val="21"/>
                <w:highlight w:val="none"/>
              </w:rPr>
            </w:pPr>
          </w:p>
        </w:tc>
        <w:tc>
          <w:tcPr>
            <w:tcW w:w="1223" w:type="dxa"/>
            <w:vAlign w:val="center"/>
          </w:tcPr>
          <w:p>
            <w:pPr>
              <w:spacing w:line="400" w:lineRule="exact"/>
              <w:jc w:val="center"/>
              <w:rPr>
                <w:rFonts w:cs="Times New Roman" w:asciiTheme="minorEastAsia" w:hAnsiTheme="minorEastAsia"/>
                <w:color w:val="000000" w:themeColor="text1"/>
                <w:kern w:val="0"/>
                <w:szCs w:val="21"/>
                <w:highlight w:val="none"/>
              </w:rPr>
            </w:pPr>
          </w:p>
        </w:tc>
      </w:tr>
    </w:tbl>
    <w:p>
      <w:pPr>
        <w:spacing w:line="360" w:lineRule="auto"/>
        <w:rPr>
          <w:rFonts w:cs="Times New Roman" w:asciiTheme="minorEastAsia" w:hAnsiTheme="minorEastAsia"/>
          <w:color w:val="000000" w:themeColor="text1"/>
          <w:szCs w:val="21"/>
          <w:highlight w:val="none"/>
        </w:rPr>
      </w:pPr>
      <w:r>
        <w:rPr>
          <w:rFonts w:hint="eastAsia" w:cs="Times New Roman" w:asciiTheme="minorEastAsia" w:hAnsiTheme="minorEastAsia"/>
          <w:color w:val="000000" w:themeColor="text1"/>
          <w:szCs w:val="21"/>
          <w:highlight w:val="none"/>
        </w:rPr>
        <w:t>说明：1、每个案例均须提供证明材料。案例证明材料的提供按招标文件相关要求执行。</w:t>
      </w:r>
    </w:p>
    <w:p>
      <w:pPr>
        <w:spacing w:line="360" w:lineRule="auto"/>
        <w:ind w:firstLine="630" w:firstLineChars="300"/>
        <w:rPr>
          <w:rFonts w:cs="Times New Roman" w:asciiTheme="minorEastAsia" w:hAnsiTheme="minorEastAsia"/>
          <w:color w:val="000000" w:themeColor="text1"/>
          <w:szCs w:val="21"/>
          <w:highlight w:val="none"/>
        </w:rPr>
      </w:pPr>
      <w:r>
        <w:rPr>
          <w:rFonts w:hint="eastAsia" w:cs="Times New Roman" w:asciiTheme="minorEastAsia" w:hAnsiTheme="minorEastAsia"/>
          <w:color w:val="000000" w:themeColor="text1"/>
          <w:szCs w:val="21"/>
          <w:highlight w:val="none"/>
        </w:rPr>
        <w:t>2、请投标人根据实际情况如实填写上述内容，可在此表基础上扩展并自行添加其他相关内容。</w:t>
      </w:r>
    </w:p>
    <w:p>
      <w:pPr>
        <w:spacing w:line="360" w:lineRule="auto"/>
        <w:ind w:firstLine="420" w:firstLineChars="200"/>
        <w:rPr>
          <w:rFonts w:cs="Times New Roman" w:asciiTheme="minorEastAsia" w:hAnsiTheme="minorEastAsia"/>
          <w:color w:val="000000" w:themeColor="text1"/>
          <w:szCs w:val="21"/>
          <w:highlight w:val="none"/>
        </w:rPr>
      </w:pPr>
    </w:p>
    <w:p>
      <w:pPr>
        <w:spacing w:line="360" w:lineRule="auto"/>
        <w:ind w:firstLine="420" w:firstLineChars="200"/>
        <w:rPr>
          <w:rFonts w:cs="Times New Roman" w:asciiTheme="minorEastAsia" w:hAnsiTheme="minorEastAsia"/>
          <w:color w:val="000000" w:themeColor="text1"/>
          <w:szCs w:val="21"/>
          <w:highlight w:val="none"/>
        </w:rPr>
      </w:pPr>
      <w:r>
        <w:rPr>
          <w:rFonts w:hint="eastAsia" w:cs="Times New Roman" w:asciiTheme="minorEastAsia" w:hAnsiTheme="minorEastAsia"/>
          <w:color w:val="000000" w:themeColor="text1"/>
          <w:szCs w:val="21"/>
          <w:highlight w:val="none"/>
        </w:rPr>
        <w:t>我公司承诺以上内容</w:t>
      </w:r>
      <w:r>
        <w:rPr>
          <w:rFonts w:hint="eastAsia" w:cs="Times New Roman" w:asciiTheme="minorEastAsia" w:hAnsiTheme="minorEastAsia"/>
          <w:color w:val="000000" w:themeColor="text1"/>
          <w:kern w:val="0"/>
          <w:szCs w:val="21"/>
          <w:highlight w:val="none"/>
          <w:u w:val="single"/>
        </w:rPr>
        <w:t>信息都是真实、可靠的。在评标及后续工作中若发现表中信息的真实性、可靠性存在弄虚作假等行为，招标人有权取消我司中标资格并没收我司投标保证金（或履约保证金），我司愿赔偿相应损失并承担一切法律责任。</w:t>
      </w:r>
    </w:p>
    <w:p>
      <w:pPr>
        <w:spacing w:line="360" w:lineRule="auto"/>
        <w:jc w:val="left"/>
        <w:rPr>
          <w:rFonts w:cs="Times New Roman" w:asciiTheme="minorEastAsia" w:hAnsiTheme="minorEastAsia"/>
          <w:color w:val="000000" w:themeColor="text1"/>
          <w:szCs w:val="21"/>
          <w:highlight w:val="none"/>
        </w:rPr>
      </w:pPr>
    </w:p>
    <w:p>
      <w:pPr>
        <w:spacing w:line="360" w:lineRule="auto"/>
        <w:jc w:val="left"/>
        <w:rPr>
          <w:rFonts w:cs="Times New Roman" w:asciiTheme="minorEastAsia" w:hAnsiTheme="minorEastAsia"/>
          <w:b/>
          <w:color w:val="000000" w:themeColor="text1"/>
          <w:szCs w:val="24"/>
          <w:highlight w:val="none"/>
        </w:rPr>
      </w:pPr>
      <w:r>
        <w:rPr>
          <w:rFonts w:hint="eastAsia" w:cs="Times New Roman" w:asciiTheme="minorEastAsia" w:hAnsiTheme="minorEastAsia"/>
          <w:b/>
          <w:color w:val="000000" w:themeColor="text1"/>
          <w:szCs w:val="24"/>
          <w:highlight w:val="none"/>
        </w:rPr>
        <w:t>投标人（公章）：</w:t>
      </w:r>
    </w:p>
    <w:p>
      <w:pPr>
        <w:spacing w:line="360" w:lineRule="auto"/>
        <w:rPr>
          <w:rFonts w:cs="Times New Roman" w:asciiTheme="minorEastAsia" w:hAnsiTheme="minorEastAsia"/>
          <w:b/>
          <w:color w:val="000000" w:themeColor="text1"/>
          <w:szCs w:val="24"/>
          <w:highlight w:val="none"/>
        </w:rPr>
      </w:pPr>
      <w:r>
        <w:rPr>
          <w:rFonts w:cs="Times New Roman" w:asciiTheme="minorEastAsia" w:hAnsiTheme="minorEastAsia"/>
          <w:b/>
          <w:color w:val="000000" w:themeColor="text1"/>
          <w:szCs w:val="24"/>
          <w:highlight w:val="none"/>
        </w:rPr>
        <w:t>法定代表人或其委托代理人：（盖章或签字）</w:t>
      </w:r>
    </w:p>
    <w:p>
      <w:pPr>
        <w:spacing w:line="360" w:lineRule="auto"/>
        <w:ind w:firstLine="517" w:firstLineChars="245"/>
        <w:rPr>
          <w:rFonts w:cs="Times New Roman" w:asciiTheme="minorEastAsia" w:hAnsiTheme="minorEastAsia"/>
          <w:b/>
          <w:color w:val="000000" w:themeColor="text1"/>
          <w:szCs w:val="24"/>
          <w:highlight w:val="none"/>
        </w:rPr>
      </w:pPr>
      <w:r>
        <w:rPr>
          <w:rFonts w:cs="Times New Roman" w:asciiTheme="minorEastAsia" w:hAnsiTheme="minorEastAsia"/>
          <w:b/>
          <w:color w:val="000000" w:themeColor="text1"/>
          <w:szCs w:val="24"/>
          <w:highlight w:val="none"/>
        </w:rPr>
        <w:t>年</w:t>
      </w:r>
      <w:r>
        <w:rPr>
          <w:rFonts w:hint="eastAsia" w:cs="Times New Roman" w:asciiTheme="minorEastAsia" w:hAnsiTheme="minorEastAsia"/>
          <w:b/>
          <w:color w:val="000000" w:themeColor="text1"/>
          <w:szCs w:val="24"/>
          <w:highlight w:val="none"/>
        </w:rPr>
        <w:t xml:space="preserve">  </w:t>
      </w:r>
      <w:r>
        <w:rPr>
          <w:rFonts w:cs="Times New Roman" w:asciiTheme="minorEastAsia" w:hAnsiTheme="minorEastAsia"/>
          <w:b/>
          <w:color w:val="000000" w:themeColor="text1"/>
          <w:szCs w:val="24"/>
          <w:highlight w:val="none"/>
        </w:rPr>
        <w:t>月</w:t>
      </w:r>
      <w:r>
        <w:rPr>
          <w:rFonts w:hint="eastAsia" w:cs="Times New Roman" w:asciiTheme="minorEastAsia" w:hAnsiTheme="minorEastAsia"/>
          <w:b/>
          <w:color w:val="000000" w:themeColor="text1"/>
          <w:szCs w:val="24"/>
          <w:highlight w:val="none"/>
        </w:rPr>
        <w:t xml:space="preserve">  </w:t>
      </w:r>
      <w:r>
        <w:rPr>
          <w:rFonts w:cs="Times New Roman" w:asciiTheme="minorEastAsia" w:hAnsiTheme="minorEastAsia"/>
          <w:b/>
          <w:color w:val="000000" w:themeColor="text1"/>
          <w:szCs w:val="24"/>
          <w:highlight w:val="none"/>
        </w:rPr>
        <w:t>日</w:t>
      </w:r>
    </w:p>
    <w:p>
      <w:pPr>
        <w:spacing w:line="240" w:lineRule="exact"/>
        <w:rPr>
          <w:rFonts w:cs="宋体" w:asciiTheme="minorEastAsia" w:hAnsiTheme="minorEastAsia"/>
          <w:color w:val="000000" w:themeColor="text1"/>
          <w:sz w:val="24"/>
          <w:szCs w:val="24"/>
          <w:highlight w:val="none"/>
        </w:rPr>
      </w:pPr>
    </w:p>
    <w:p>
      <w:pPr>
        <w:spacing w:line="240" w:lineRule="exact"/>
        <w:rPr>
          <w:rFonts w:cs="宋体" w:asciiTheme="minorEastAsia" w:hAnsiTheme="minorEastAsia"/>
          <w:color w:val="000000" w:themeColor="text1"/>
          <w:sz w:val="24"/>
          <w:szCs w:val="24"/>
          <w:highlight w:val="none"/>
        </w:rPr>
      </w:pPr>
    </w:p>
    <w:p>
      <w:pPr>
        <w:spacing w:line="240" w:lineRule="exact"/>
        <w:rPr>
          <w:rFonts w:cs="宋体" w:asciiTheme="minorEastAsia" w:hAnsiTheme="minorEastAsia"/>
          <w:color w:val="000000" w:themeColor="text1"/>
          <w:sz w:val="24"/>
          <w:szCs w:val="24"/>
          <w:highlight w:val="none"/>
        </w:rPr>
      </w:pPr>
    </w:p>
    <w:p>
      <w:pPr>
        <w:spacing w:line="240" w:lineRule="exact"/>
        <w:rPr>
          <w:rFonts w:cs="宋体" w:asciiTheme="minorEastAsia" w:hAnsiTheme="minorEastAsia"/>
          <w:color w:val="000000" w:themeColor="text1"/>
          <w:sz w:val="24"/>
          <w:szCs w:val="24"/>
          <w:highlight w:val="none"/>
        </w:rPr>
      </w:pPr>
      <w:r>
        <w:rPr>
          <w:rFonts w:hint="eastAsia" w:cs="宋体" w:asciiTheme="minorEastAsia" w:hAnsiTheme="minorEastAsia"/>
          <w:color w:val="000000" w:themeColor="text1"/>
          <w:sz w:val="24"/>
          <w:szCs w:val="24"/>
          <w:highlight w:val="none"/>
        </w:rPr>
        <w:br w:type="page"/>
      </w:r>
    </w:p>
    <w:p>
      <w:pPr>
        <w:spacing w:line="240" w:lineRule="exact"/>
        <w:rPr>
          <w:rFonts w:cs="宋体" w:asciiTheme="minorEastAsia" w:hAnsiTheme="minorEastAsia"/>
          <w:color w:val="000000" w:themeColor="text1"/>
          <w:sz w:val="24"/>
          <w:szCs w:val="24"/>
          <w:highlight w:val="none"/>
        </w:rPr>
      </w:pPr>
    </w:p>
    <w:p>
      <w:pPr>
        <w:spacing w:line="240" w:lineRule="exact"/>
        <w:rPr>
          <w:rFonts w:cs="宋体" w:asciiTheme="minorEastAsia" w:hAnsiTheme="minorEastAsia"/>
          <w:color w:val="000000" w:themeColor="text1"/>
          <w:sz w:val="24"/>
          <w:szCs w:val="24"/>
          <w:highlight w:val="none"/>
        </w:rPr>
      </w:pPr>
    </w:p>
    <w:p>
      <w:pPr>
        <w:spacing w:line="320" w:lineRule="exact"/>
        <w:rPr>
          <w:rFonts w:cs="宋体" w:asciiTheme="minorEastAsia" w:hAnsiTheme="minorEastAsia"/>
          <w:color w:val="000000" w:themeColor="text1"/>
          <w:sz w:val="24"/>
          <w:szCs w:val="24"/>
          <w:highlight w:val="none"/>
        </w:rPr>
      </w:pPr>
      <w:r>
        <w:rPr>
          <w:rFonts w:hint="eastAsia" w:cs="宋体" w:asciiTheme="minorEastAsia" w:hAnsiTheme="minorEastAsia"/>
          <w:color w:val="000000" w:themeColor="text1"/>
          <w:sz w:val="24"/>
          <w:szCs w:val="24"/>
          <w:highlight w:val="none"/>
        </w:rPr>
        <w:t>表3：</w:t>
      </w:r>
    </w:p>
    <w:p>
      <w:pPr>
        <w:spacing w:line="320" w:lineRule="exact"/>
        <w:jc w:val="center"/>
        <w:rPr>
          <w:rFonts w:cs="宋体" w:asciiTheme="minorEastAsia" w:hAnsiTheme="minorEastAsia"/>
          <w:b/>
          <w:color w:val="000000" w:themeColor="text1"/>
          <w:sz w:val="24"/>
          <w:szCs w:val="24"/>
          <w:highlight w:val="none"/>
        </w:rPr>
      </w:pPr>
      <w:r>
        <w:rPr>
          <w:rFonts w:hint="eastAsia" w:cs="宋体" w:asciiTheme="minorEastAsia" w:hAnsiTheme="minorEastAsia"/>
          <w:b/>
          <w:color w:val="000000" w:themeColor="text1"/>
          <w:sz w:val="24"/>
          <w:szCs w:val="24"/>
          <w:highlight w:val="none"/>
        </w:rPr>
        <w:t>跨行业应用能力案例表</w:t>
      </w:r>
    </w:p>
    <w:p>
      <w:pPr>
        <w:spacing w:line="320" w:lineRule="exact"/>
        <w:ind w:left="-283" w:leftChars="-135" w:right="-57" w:rightChars="-27"/>
        <w:jc w:val="center"/>
        <w:rPr>
          <w:rFonts w:cs="Times New Roman" w:asciiTheme="minorEastAsia" w:hAnsiTheme="minorEastAsia"/>
          <w:b/>
          <w:color w:val="000000" w:themeColor="text1"/>
          <w:kern w:val="0"/>
          <w:szCs w:val="21"/>
          <w:highlight w:val="none"/>
        </w:rPr>
      </w:pPr>
      <w:r>
        <w:rPr>
          <w:rFonts w:hint="eastAsia" w:cs="Times New Roman" w:asciiTheme="minorEastAsia" w:hAnsiTheme="minorEastAsia"/>
          <w:b/>
          <w:color w:val="000000" w:themeColor="text1"/>
          <w:kern w:val="0"/>
          <w:szCs w:val="21"/>
          <w:highlight w:val="none"/>
        </w:rPr>
        <w:t>（请投标人根据招标文件要求如实认真填写附件相关表格资料）</w:t>
      </w:r>
    </w:p>
    <w:tbl>
      <w:tblPr>
        <w:tblStyle w:val="55"/>
        <w:tblW w:w="7328" w:type="dxa"/>
        <w:jc w:val="center"/>
        <w:tblInd w:w="-17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1331"/>
        <w:gridCol w:w="1417"/>
        <w:gridCol w:w="1985"/>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372" w:type="dxa"/>
            <w:shd w:val="clear" w:color="000000" w:fill="FFFFFF"/>
            <w:vAlign w:val="center"/>
          </w:tcPr>
          <w:p>
            <w:pPr>
              <w:spacing w:line="320" w:lineRule="exact"/>
              <w:jc w:val="center"/>
              <w:rPr>
                <w:rFonts w:cs="Times New Roman" w:asciiTheme="minorEastAsia" w:hAnsiTheme="minorEastAsia"/>
                <w:b/>
                <w:bCs/>
                <w:color w:val="000000" w:themeColor="text1"/>
                <w:kern w:val="0"/>
                <w:sz w:val="18"/>
                <w:szCs w:val="18"/>
                <w:highlight w:val="none"/>
              </w:rPr>
            </w:pPr>
            <w:r>
              <w:rPr>
                <w:rFonts w:hint="eastAsia" w:cs="Times New Roman" w:asciiTheme="minorEastAsia" w:hAnsiTheme="minorEastAsia"/>
                <w:b/>
                <w:bCs/>
                <w:color w:val="000000" w:themeColor="text1"/>
                <w:kern w:val="0"/>
                <w:sz w:val="18"/>
                <w:szCs w:val="18"/>
                <w:highlight w:val="none"/>
              </w:rPr>
              <w:t>行业应用种类</w:t>
            </w:r>
          </w:p>
        </w:tc>
        <w:tc>
          <w:tcPr>
            <w:tcW w:w="1331" w:type="dxa"/>
            <w:shd w:val="clear" w:color="000000" w:fill="FFFFFF"/>
            <w:vAlign w:val="center"/>
          </w:tcPr>
          <w:p>
            <w:pPr>
              <w:spacing w:line="320" w:lineRule="exact"/>
              <w:jc w:val="center"/>
              <w:rPr>
                <w:rFonts w:cs="Times New Roman" w:asciiTheme="minorEastAsia" w:hAnsiTheme="minorEastAsia"/>
                <w:b/>
                <w:bCs/>
                <w:color w:val="000000" w:themeColor="text1"/>
                <w:kern w:val="0"/>
                <w:sz w:val="18"/>
                <w:szCs w:val="18"/>
                <w:highlight w:val="none"/>
              </w:rPr>
            </w:pPr>
            <w:r>
              <w:rPr>
                <w:rFonts w:hint="eastAsia" w:cs="Times New Roman" w:asciiTheme="minorEastAsia" w:hAnsiTheme="minorEastAsia"/>
                <w:b/>
                <w:bCs/>
                <w:color w:val="000000" w:themeColor="text1"/>
                <w:kern w:val="0"/>
                <w:sz w:val="18"/>
                <w:szCs w:val="18"/>
                <w:highlight w:val="none"/>
              </w:rPr>
              <w:t>合同签订或订单发出时间</w:t>
            </w:r>
          </w:p>
        </w:tc>
        <w:tc>
          <w:tcPr>
            <w:tcW w:w="1417" w:type="dxa"/>
            <w:shd w:val="clear" w:color="000000" w:fill="FFFFFF"/>
            <w:vAlign w:val="center"/>
          </w:tcPr>
          <w:p>
            <w:pPr>
              <w:spacing w:line="320" w:lineRule="exact"/>
              <w:jc w:val="center"/>
              <w:rPr>
                <w:rFonts w:cs="Times New Roman" w:asciiTheme="minorEastAsia" w:hAnsiTheme="minorEastAsia"/>
                <w:b/>
                <w:bCs/>
                <w:color w:val="000000" w:themeColor="text1"/>
                <w:kern w:val="0"/>
                <w:sz w:val="18"/>
                <w:szCs w:val="18"/>
                <w:highlight w:val="none"/>
              </w:rPr>
            </w:pPr>
            <w:r>
              <w:rPr>
                <w:rFonts w:hint="eastAsia" w:cs="Times New Roman" w:asciiTheme="minorEastAsia" w:hAnsiTheme="minorEastAsia"/>
                <w:b/>
                <w:bCs/>
                <w:color w:val="000000" w:themeColor="text1"/>
                <w:kern w:val="0"/>
                <w:sz w:val="18"/>
                <w:szCs w:val="18"/>
                <w:highlight w:val="none"/>
              </w:rPr>
              <w:t>项目名称</w:t>
            </w:r>
          </w:p>
        </w:tc>
        <w:tc>
          <w:tcPr>
            <w:tcW w:w="1985" w:type="dxa"/>
            <w:shd w:val="clear" w:color="000000" w:fill="FFFFFF"/>
            <w:vAlign w:val="center"/>
          </w:tcPr>
          <w:p>
            <w:pPr>
              <w:spacing w:line="320" w:lineRule="exact"/>
              <w:jc w:val="center"/>
              <w:rPr>
                <w:rFonts w:cs="Times New Roman" w:asciiTheme="minorEastAsia" w:hAnsiTheme="minorEastAsia"/>
                <w:b/>
                <w:bCs/>
                <w:color w:val="000000" w:themeColor="text1"/>
                <w:kern w:val="0"/>
                <w:sz w:val="18"/>
                <w:szCs w:val="18"/>
                <w:highlight w:val="none"/>
              </w:rPr>
            </w:pPr>
            <w:r>
              <w:rPr>
                <w:rFonts w:hint="eastAsia" w:cs="Times New Roman" w:asciiTheme="minorEastAsia" w:hAnsiTheme="minorEastAsia"/>
                <w:b/>
                <w:bCs/>
                <w:color w:val="000000" w:themeColor="text1"/>
                <w:kern w:val="0"/>
                <w:sz w:val="18"/>
                <w:szCs w:val="18"/>
                <w:highlight w:val="none"/>
              </w:rPr>
              <w:t>合同或订单采购方名称、联系人及联系方式</w:t>
            </w:r>
          </w:p>
        </w:tc>
        <w:tc>
          <w:tcPr>
            <w:tcW w:w="1223" w:type="dxa"/>
            <w:shd w:val="clear" w:color="000000" w:fill="FFFFFF"/>
            <w:vAlign w:val="center"/>
          </w:tcPr>
          <w:p>
            <w:pPr>
              <w:spacing w:line="320" w:lineRule="exact"/>
              <w:jc w:val="center"/>
              <w:rPr>
                <w:rFonts w:cs="Times New Roman" w:asciiTheme="minorEastAsia" w:hAnsiTheme="minorEastAsia"/>
                <w:b/>
                <w:bCs/>
                <w:color w:val="000000" w:themeColor="text1"/>
                <w:kern w:val="0"/>
                <w:sz w:val="18"/>
                <w:szCs w:val="18"/>
                <w:highlight w:val="none"/>
              </w:rPr>
            </w:pPr>
            <w:r>
              <w:rPr>
                <w:rFonts w:hint="eastAsia" w:cs="Times New Roman" w:asciiTheme="minorEastAsia" w:hAnsiTheme="minorEastAsia"/>
                <w:b/>
                <w:bCs/>
                <w:color w:val="000000" w:themeColor="text1"/>
                <w:kern w:val="0"/>
                <w:sz w:val="18"/>
                <w:szCs w:val="18"/>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372" w:type="dxa"/>
            <w:vAlign w:val="center"/>
          </w:tcPr>
          <w:p>
            <w:pPr>
              <w:spacing w:line="320" w:lineRule="exact"/>
              <w:jc w:val="center"/>
              <w:rPr>
                <w:rFonts w:cs="Times New Roman" w:asciiTheme="minorEastAsia" w:hAnsiTheme="minorEastAsia"/>
                <w:b/>
                <w:bCs/>
                <w:color w:val="000000" w:themeColor="text1"/>
                <w:kern w:val="0"/>
                <w:sz w:val="10"/>
                <w:szCs w:val="10"/>
                <w:highlight w:val="none"/>
              </w:rPr>
            </w:pPr>
            <w:r>
              <w:rPr>
                <w:rFonts w:hint="eastAsia" w:ascii="宋体" w:hAnsi="宋体" w:eastAsia="宋体" w:cs="Times New Roman"/>
                <w:color w:val="000000" w:themeColor="text1"/>
                <w:sz w:val="16"/>
                <w:szCs w:val="20"/>
                <w:highlight w:val="none"/>
              </w:rPr>
              <w:t>社保卡应用</w:t>
            </w:r>
          </w:p>
        </w:tc>
        <w:tc>
          <w:tcPr>
            <w:tcW w:w="1331" w:type="dxa"/>
            <w:vAlign w:val="center"/>
          </w:tcPr>
          <w:p>
            <w:pPr>
              <w:spacing w:line="320" w:lineRule="exact"/>
              <w:jc w:val="center"/>
              <w:rPr>
                <w:rFonts w:cs="Times New Roman" w:asciiTheme="minorEastAsia" w:hAnsiTheme="minorEastAsia"/>
                <w:color w:val="000000" w:themeColor="text1"/>
                <w:kern w:val="0"/>
                <w:szCs w:val="21"/>
                <w:highlight w:val="none"/>
              </w:rPr>
            </w:pPr>
          </w:p>
        </w:tc>
        <w:tc>
          <w:tcPr>
            <w:tcW w:w="1417" w:type="dxa"/>
            <w:vAlign w:val="center"/>
          </w:tcPr>
          <w:p>
            <w:pPr>
              <w:spacing w:line="320" w:lineRule="exact"/>
              <w:jc w:val="center"/>
              <w:rPr>
                <w:rFonts w:cs="Times New Roman" w:asciiTheme="minorEastAsia" w:hAnsiTheme="minorEastAsia"/>
                <w:color w:val="000000" w:themeColor="text1"/>
                <w:kern w:val="0"/>
                <w:szCs w:val="21"/>
                <w:highlight w:val="none"/>
              </w:rPr>
            </w:pPr>
          </w:p>
        </w:tc>
        <w:tc>
          <w:tcPr>
            <w:tcW w:w="1985" w:type="dxa"/>
            <w:vAlign w:val="center"/>
          </w:tcPr>
          <w:p>
            <w:pPr>
              <w:spacing w:line="320" w:lineRule="exact"/>
              <w:jc w:val="center"/>
              <w:rPr>
                <w:rFonts w:cs="Times New Roman" w:asciiTheme="minorEastAsia" w:hAnsiTheme="minorEastAsia"/>
                <w:color w:val="000000" w:themeColor="text1"/>
                <w:kern w:val="0"/>
                <w:szCs w:val="21"/>
                <w:highlight w:val="none"/>
              </w:rPr>
            </w:pPr>
          </w:p>
        </w:tc>
        <w:tc>
          <w:tcPr>
            <w:tcW w:w="1223" w:type="dxa"/>
            <w:vAlign w:val="center"/>
          </w:tcPr>
          <w:p>
            <w:pPr>
              <w:spacing w:line="320" w:lineRule="exact"/>
              <w:jc w:val="center"/>
              <w:rPr>
                <w:rFonts w:cs="Times New Roman" w:asciiTheme="minorEastAsia" w:hAnsiTheme="minorEastAsia"/>
                <w:color w:val="000000" w:themeColor="text1"/>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372" w:type="dxa"/>
            <w:vAlign w:val="center"/>
          </w:tcPr>
          <w:p>
            <w:pPr>
              <w:spacing w:line="320" w:lineRule="exact"/>
              <w:jc w:val="center"/>
              <w:rPr>
                <w:rFonts w:cs="Times New Roman" w:asciiTheme="minorEastAsia" w:hAnsiTheme="minorEastAsia"/>
                <w:b/>
                <w:bCs/>
                <w:color w:val="000000" w:themeColor="text1"/>
                <w:kern w:val="0"/>
                <w:sz w:val="10"/>
                <w:szCs w:val="10"/>
                <w:highlight w:val="none"/>
              </w:rPr>
            </w:pPr>
            <w:r>
              <w:rPr>
                <w:rFonts w:hint="eastAsia" w:ascii="宋体" w:hAnsi="宋体" w:eastAsia="宋体" w:cs="Times New Roman"/>
                <w:color w:val="000000" w:themeColor="text1"/>
                <w:sz w:val="16"/>
                <w:szCs w:val="20"/>
                <w:highlight w:val="none"/>
              </w:rPr>
              <w:t>住房公积金应用</w:t>
            </w:r>
          </w:p>
        </w:tc>
        <w:tc>
          <w:tcPr>
            <w:tcW w:w="1331" w:type="dxa"/>
            <w:vAlign w:val="center"/>
          </w:tcPr>
          <w:p>
            <w:pPr>
              <w:spacing w:line="320" w:lineRule="exact"/>
              <w:jc w:val="center"/>
              <w:rPr>
                <w:rFonts w:cs="Times New Roman" w:asciiTheme="minorEastAsia" w:hAnsiTheme="minorEastAsia"/>
                <w:color w:val="000000" w:themeColor="text1"/>
                <w:kern w:val="0"/>
                <w:szCs w:val="21"/>
                <w:highlight w:val="none"/>
              </w:rPr>
            </w:pPr>
          </w:p>
        </w:tc>
        <w:tc>
          <w:tcPr>
            <w:tcW w:w="1417" w:type="dxa"/>
            <w:vAlign w:val="center"/>
          </w:tcPr>
          <w:p>
            <w:pPr>
              <w:spacing w:line="320" w:lineRule="exact"/>
              <w:jc w:val="center"/>
              <w:rPr>
                <w:rFonts w:cs="Times New Roman" w:asciiTheme="minorEastAsia" w:hAnsiTheme="minorEastAsia"/>
                <w:color w:val="000000" w:themeColor="text1"/>
                <w:kern w:val="0"/>
                <w:szCs w:val="21"/>
                <w:highlight w:val="none"/>
              </w:rPr>
            </w:pPr>
          </w:p>
        </w:tc>
        <w:tc>
          <w:tcPr>
            <w:tcW w:w="1985" w:type="dxa"/>
            <w:vAlign w:val="center"/>
          </w:tcPr>
          <w:p>
            <w:pPr>
              <w:spacing w:line="320" w:lineRule="exact"/>
              <w:jc w:val="center"/>
              <w:rPr>
                <w:rFonts w:cs="Times New Roman" w:asciiTheme="minorEastAsia" w:hAnsiTheme="minorEastAsia"/>
                <w:color w:val="000000" w:themeColor="text1"/>
                <w:kern w:val="0"/>
                <w:szCs w:val="21"/>
                <w:highlight w:val="none"/>
              </w:rPr>
            </w:pPr>
          </w:p>
        </w:tc>
        <w:tc>
          <w:tcPr>
            <w:tcW w:w="1223" w:type="dxa"/>
            <w:vAlign w:val="center"/>
          </w:tcPr>
          <w:p>
            <w:pPr>
              <w:spacing w:line="320" w:lineRule="exact"/>
              <w:jc w:val="center"/>
              <w:rPr>
                <w:rFonts w:cs="Times New Roman" w:asciiTheme="minorEastAsia" w:hAnsiTheme="minorEastAsia"/>
                <w:color w:val="000000" w:themeColor="text1"/>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372" w:type="dxa"/>
            <w:vAlign w:val="center"/>
          </w:tcPr>
          <w:p>
            <w:pPr>
              <w:spacing w:line="320" w:lineRule="exact"/>
              <w:jc w:val="center"/>
              <w:rPr>
                <w:rFonts w:cs="Times New Roman" w:asciiTheme="minorEastAsia" w:hAnsiTheme="minorEastAsia"/>
                <w:b/>
                <w:bCs/>
                <w:color w:val="000000" w:themeColor="text1"/>
                <w:kern w:val="0"/>
                <w:sz w:val="10"/>
                <w:szCs w:val="10"/>
                <w:highlight w:val="none"/>
              </w:rPr>
            </w:pPr>
            <w:r>
              <w:rPr>
                <w:rFonts w:hint="eastAsia" w:ascii="宋体" w:hAnsi="宋体" w:eastAsia="宋体" w:cs="Times New Roman"/>
                <w:color w:val="000000" w:themeColor="text1"/>
                <w:sz w:val="16"/>
                <w:szCs w:val="20"/>
                <w:highlight w:val="none"/>
              </w:rPr>
              <w:t>城市交通一卡通应用</w:t>
            </w:r>
          </w:p>
        </w:tc>
        <w:tc>
          <w:tcPr>
            <w:tcW w:w="1331" w:type="dxa"/>
            <w:vAlign w:val="center"/>
          </w:tcPr>
          <w:p>
            <w:pPr>
              <w:spacing w:line="320" w:lineRule="exact"/>
              <w:jc w:val="center"/>
              <w:rPr>
                <w:rFonts w:cs="Times New Roman" w:asciiTheme="minorEastAsia" w:hAnsiTheme="minorEastAsia"/>
                <w:color w:val="000000" w:themeColor="text1"/>
                <w:kern w:val="0"/>
                <w:szCs w:val="21"/>
                <w:highlight w:val="none"/>
              </w:rPr>
            </w:pPr>
          </w:p>
        </w:tc>
        <w:tc>
          <w:tcPr>
            <w:tcW w:w="1417" w:type="dxa"/>
            <w:vAlign w:val="center"/>
          </w:tcPr>
          <w:p>
            <w:pPr>
              <w:spacing w:line="320" w:lineRule="exact"/>
              <w:jc w:val="center"/>
              <w:rPr>
                <w:rFonts w:cs="Times New Roman" w:asciiTheme="minorEastAsia" w:hAnsiTheme="minorEastAsia"/>
                <w:color w:val="000000" w:themeColor="text1"/>
                <w:kern w:val="0"/>
                <w:szCs w:val="21"/>
                <w:highlight w:val="none"/>
              </w:rPr>
            </w:pPr>
          </w:p>
        </w:tc>
        <w:tc>
          <w:tcPr>
            <w:tcW w:w="1985" w:type="dxa"/>
            <w:vAlign w:val="center"/>
          </w:tcPr>
          <w:p>
            <w:pPr>
              <w:spacing w:line="320" w:lineRule="exact"/>
              <w:jc w:val="center"/>
              <w:rPr>
                <w:rFonts w:cs="Times New Roman" w:asciiTheme="minorEastAsia" w:hAnsiTheme="minorEastAsia"/>
                <w:color w:val="000000" w:themeColor="text1"/>
                <w:kern w:val="0"/>
                <w:szCs w:val="21"/>
                <w:highlight w:val="none"/>
              </w:rPr>
            </w:pPr>
          </w:p>
        </w:tc>
        <w:tc>
          <w:tcPr>
            <w:tcW w:w="1223" w:type="dxa"/>
            <w:vAlign w:val="center"/>
          </w:tcPr>
          <w:p>
            <w:pPr>
              <w:spacing w:line="320" w:lineRule="exact"/>
              <w:jc w:val="center"/>
              <w:rPr>
                <w:rFonts w:cs="Times New Roman" w:asciiTheme="minorEastAsia" w:hAnsiTheme="minorEastAsia"/>
                <w:color w:val="000000" w:themeColor="text1"/>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372" w:type="dxa"/>
            <w:vAlign w:val="center"/>
          </w:tcPr>
          <w:p>
            <w:pPr>
              <w:spacing w:line="320" w:lineRule="exact"/>
              <w:jc w:val="center"/>
              <w:rPr>
                <w:rFonts w:cs="Times New Roman" w:asciiTheme="minorEastAsia" w:hAnsiTheme="minorEastAsia"/>
                <w:b/>
                <w:bCs/>
                <w:color w:val="000000" w:themeColor="text1"/>
                <w:kern w:val="0"/>
                <w:sz w:val="10"/>
                <w:szCs w:val="10"/>
                <w:highlight w:val="none"/>
              </w:rPr>
            </w:pPr>
            <w:r>
              <w:rPr>
                <w:rFonts w:hint="eastAsia" w:ascii="宋体" w:hAnsi="宋体" w:eastAsia="宋体" w:cs="Times New Roman"/>
                <w:color w:val="000000" w:themeColor="text1"/>
                <w:sz w:val="16"/>
                <w:szCs w:val="20"/>
                <w:highlight w:val="none"/>
              </w:rPr>
              <w:t>ETC应用</w:t>
            </w:r>
          </w:p>
        </w:tc>
        <w:tc>
          <w:tcPr>
            <w:tcW w:w="1331" w:type="dxa"/>
            <w:vAlign w:val="center"/>
          </w:tcPr>
          <w:p>
            <w:pPr>
              <w:spacing w:line="320" w:lineRule="exact"/>
              <w:jc w:val="center"/>
              <w:rPr>
                <w:rFonts w:cs="Times New Roman" w:asciiTheme="minorEastAsia" w:hAnsiTheme="minorEastAsia"/>
                <w:color w:val="000000" w:themeColor="text1"/>
                <w:kern w:val="0"/>
                <w:szCs w:val="21"/>
                <w:highlight w:val="none"/>
              </w:rPr>
            </w:pPr>
          </w:p>
        </w:tc>
        <w:tc>
          <w:tcPr>
            <w:tcW w:w="1417" w:type="dxa"/>
            <w:vAlign w:val="center"/>
          </w:tcPr>
          <w:p>
            <w:pPr>
              <w:spacing w:line="320" w:lineRule="exact"/>
              <w:jc w:val="center"/>
              <w:rPr>
                <w:rFonts w:cs="Times New Roman" w:asciiTheme="minorEastAsia" w:hAnsiTheme="minorEastAsia"/>
                <w:color w:val="000000" w:themeColor="text1"/>
                <w:kern w:val="0"/>
                <w:szCs w:val="21"/>
                <w:highlight w:val="none"/>
              </w:rPr>
            </w:pPr>
          </w:p>
        </w:tc>
        <w:tc>
          <w:tcPr>
            <w:tcW w:w="1985" w:type="dxa"/>
            <w:vAlign w:val="center"/>
          </w:tcPr>
          <w:p>
            <w:pPr>
              <w:spacing w:line="320" w:lineRule="exact"/>
              <w:jc w:val="center"/>
              <w:rPr>
                <w:rFonts w:cs="Times New Roman" w:asciiTheme="minorEastAsia" w:hAnsiTheme="minorEastAsia"/>
                <w:color w:val="000000" w:themeColor="text1"/>
                <w:kern w:val="0"/>
                <w:szCs w:val="21"/>
                <w:highlight w:val="none"/>
              </w:rPr>
            </w:pPr>
          </w:p>
        </w:tc>
        <w:tc>
          <w:tcPr>
            <w:tcW w:w="1223" w:type="dxa"/>
            <w:vAlign w:val="center"/>
          </w:tcPr>
          <w:p>
            <w:pPr>
              <w:spacing w:line="320" w:lineRule="exact"/>
              <w:jc w:val="center"/>
              <w:rPr>
                <w:rFonts w:cs="Times New Roman" w:asciiTheme="minorEastAsia" w:hAnsiTheme="minorEastAsia"/>
                <w:color w:val="000000" w:themeColor="text1"/>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372" w:type="dxa"/>
            <w:vAlign w:val="center"/>
          </w:tcPr>
          <w:p>
            <w:pPr>
              <w:spacing w:line="320" w:lineRule="exact"/>
              <w:jc w:val="center"/>
              <w:rPr>
                <w:rFonts w:cs="Times New Roman" w:asciiTheme="minorEastAsia" w:hAnsiTheme="minorEastAsia"/>
                <w:b/>
                <w:bCs/>
                <w:color w:val="000000" w:themeColor="text1"/>
                <w:kern w:val="0"/>
                <w:sz w:val="10"/>
                <w:szCs w:val="10"/>
                <w:highlight w:val="none"/>
              </w:rPr>
            </w:pPr>
            <w:r>
              <w:rPr>
                <w:rFonts w:hint="eastAsia" w:ascii="宋体" w:hAnsi="宋体" w:eastAsia="宋体" w:cs="Times New Roman"/>
                <w:color w:val="000000" w:themeColor="text1"/>
                <w:sz w:val="16"/>
                <w:szCs w:val="20"/>
                <w:highlight w:val="none"/>
              </w:rPr>
              <w:t>市民卡应用</w:t>
            </w:r>
          </w:p>
        </w:tc>
        <w:tc>
          <w:tcPr>
            <w:tcW w:w="1331" w:type="dxa"/>
            <w:vAlign w:val="center"/>
          </w:tcPr>
          <w:p>
            <w:pPr>
              <w:spacing w:line="320" w:lineRule="exact"/>
              <w:jc w:val="center"/>
              <w:rPr>
                <w:rFonts w:cs="Times New Roman" w:asciiTheme="minorEastAsia" w:hAnsiTheme="minorEastAsia"/>
                <w:color w:val="000000" w:themeColor="text1"/>
                <w:kern w:val="0"/>
                <w:szCs w:val="21"/>
                <w:highlight w:val="none"/>
              </w:rPr>
            </w:pPr>
          </w:p>
        </w:tc>
        <w:tc>
          <w:tcPr>
            <w:tcW w:w="1417" w:type="dxa"/>
            <w:vAlign w:val="center"/>
          </w:tcPr>
          <w:p>
            <w:pPr>
              <w:spacing w:line="320" w:lineRule="exact"/>
              <w:jc w:val="center"/>
              <w:rPr>
                <w:rFonts w:cs="Times New Roman" w:asciiTheme="minorEastAsia" w:hAnsiTheme="minorEastAsia"/>
                <w:color w:val="000000" w:themeColor="text1"/>
                <w:kern w:val="0"/>
                <w:szCs w:val="21"/>
                <w:highlight w:val="none"/>
              </w:rPr>
            </w:pPr>
          </w:p>
        </w:tc>
        <w:tc>
          <w:tcPr>
            <w:tcW w:w="1985" w:type="dxa"/>
            <w:vAlign w:val="center"/>
          </w:tcPr>
          <w:p>
            <w:pPr>
              <w:spacing w:line="320" w:lineRule="exact"/>
              <w:jc w:val="center"/>
              <w:rPr>
                <w:rFonts w:cs="Times New Roman" w:asciiTheme="minorEastAsia" w:hAnsiTheme="minorEastAsia"/>
                <w:color w:val="000000" w:themeColor="text1"/>
                <w:kern w:val="0"/>
                <w:szCs w:val="21"/>
                <w:highlight w:val="none"/>
              </w:rPr>
            </w:pPr>
          </w:p>
        </w:tc>
        <w:tc>
          <w:tcPr>
            <w:tcW w:w="1223" w:type="dxa"/>
            <w:vAlign w:val="center"/>
          </w:tcPr>
          <w:p>
            <w:pPr>
              <w:spacing w:line="320" w:lineRule="exact"/>
              <w:jc w:val="center"/>
              <w:rPr>
                <w:rFonts w:cs="Times New Roman" w:asciiTheme="minorEastAsia" w:hAnsiTheme="minorEastAsia"/>
                <w:color w:val="000000" w:themeColor="text1"/>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372" w:type="dxa"/>
            <w:vAlign w:val="center"/>
          </w:tcPr>
          <w:p>
            <w:pPr>
              <w:spacing w:line="320" w:lineRule="exact"/>
              <w:jc w:val="center"/>
              <w:rPr>
                <w:rFonts w:cs="Times New Roman" w:asciiTheme="minorEastAsia" w:hAnsiTheme="minorEastAsia"/>
                <w:b/>
                <w:bCs/>
                <w:color w:val="000000" w:themeColor="text1"/>
                <w:kern w:val="0"/>
                <w:sz w:val="10"/>
                <w:szCs w:val="10"/>
                <w:highlight w:val="none"/>
              </w:rPr>
            </w:pPr>
            <w:r>
              <w:rPr>
                <w:rFonts w:hint="eastAsia" w:ascii="宋体" w:hAnsi="宋体" w:eastAsia="宋体" w:cs="Times New Roman"/>
                <w:color w:val="000000" w:themeColor="text1"/>
                <w:sz w:val="16"/>
                <w:szCs w:val="20"/>
                <w:highlight w:val="none"/>
              </w:rPr>
              <w:t>移动支付应用</w:t>
            </w:r>
          </w:p>
        </w:tc>
        <w:tc>
          <w:tcPr>
            <w:tcW w:w="1331" w:type="dxa"/>
            <w:vAlign w:val="center"/>
          </w:tcPr>
          <w:p>
            <w:pPr>
              <w:spacing w:line="320" w:lineRule="exact"/>
              <w:jc w:val="center"/>
              <w:rPr>
                <w:rFonts w:cs="Times New Roman" w:asciiTheme="minorEastAsia" w:hAnsiTheme="minorEastAsia"/>
                <w:color w:val="000000" w:themeColor="text1"/>
                <w:kern w:val="0"/>
                <w:szCs w:val="21"/>
                <w:highlight w:val="none"/>
              </w:rPr>
            </w:pPr>
          </w:p>
        </w:tc>
        <w:tc>
          <w:tcPr>
            <w:tcW w:w="1417" w:type="dxa"/>
            <w:vAlign w:val="center"/>
          </w:tcPr>
          <w:p>
            <w:pPr>
              <w:spacing w:line="320" w:lineRule="exact"/>
              <w:jc w:val="center"/>
              <w:rPr>
                <w:rFonts w:cs="Times New Roman" w:asciiTheme="minorEastAsia" w:hAnsiTheme="minorEastAsia"/>
                <w:color w:val="000000" w:themeColor="text1"/>
                <w:kern w:val="0"/>
                <w:szCs w:val="21"/>
                <w:highlight w:val="none"/>
              </w:rPr>
            </w:pPr>
          </w:p>
        </w:tc>
        <w:tc>
          <w:tcPr>
            <w:tcW w:w="1985" w:type="dxa"/>
            <w:vAlign w:val="center"/>
          </w:tcPr>
          <w:p>
            <w:pPr>
              <w:spacing w:line="320" w:lineRule="exact"/>
              <w:jc w:val="center"/>
              <w:rPr>
                <w:rFonts w:cs="Times New Roman" w:asciiTheme="minorEastAsia" w:hAnsiTheme="minorEastAsia"/>
                <w:color w:val="000000" w:themeColor="text1"/>
                <w:kern w:val="0"/>
                <w:szCs w:val="21"/>
                <w:highlight w:val="none"/>
              </w:rPr>
            </w:pPr>
          </w:p>
        </w:tc>
        <w:tc>
          <w:tcPr>
            <w:tcW w:w="1223" w:type="dxa"/>
            <w:vAlign w:val="center"/>
          </w:tcPr>
          <w:p>
            <w:pPr>
              <w:spacing w:line="320" w:lineRule="exact"/>
              <w:jc w:val="center"/>
              <w:rPr>
                <w:rFonts w:cs="Times New Roman" w:asciiTheme="minorEastAsia" w:hAnsiTheme="minorEastAsia"/>
                <w:color w:val="000000" w:themeColor="text1"/>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372" w:type="dxa"/>
            <w:vAlign w:val="center"/>
          </w:tcPr>
          <w:p>
            <w:pPr>
              <w:spacing w:line="320" w:lineRule="exact"/>
              <w:jc w:val="center"/>
              <w:rPr>
                <w:rFonts w:cs="Times New Roman" w:asciiTheme="minorEastAsia" w:hAnsiTheme="minorEastAsia"/>
                <w:b/>
                <w:bCs/>
                <w:color w:val="000000" w:themeColor="text1"/>
                <w:kern w:val="0"/>
                <w:sz w:val="10"/>
                <w:szCs w:val="10"/>
                <w:highlight w:val="none"/>
              </w:rPr>
            </w:pPr>
            <w:r>
              <w:rPr>
                <w:rFonts w:hint="eastAsia" w:ascii="宋体" w:hAnsi="宋体" w:eastAsia="宋体" w:cs="Times New Roman"/>
                <w:color w:val="000000" w:themeColor="text1"/>
                <w:sz w:val="16"/>
                <w:szCs w:val="20"/>
                <w:highlight w:val="none"/>
              </w:rPr>
              <w:t>旅游应用</w:t>
            </w:r>
          </w:p>
        </w:tc>
        <w:tc>
          <w:tcPr>
            <w:tcW w:w="1331" w:type="dxa"/>
            <w:vAlign w:val="center"/>
          </w:tcPr>
          <w:p>
            <w:pPr>
              <w:spacing w:line="320" w:lineRule="exact"/>
              <w:jc w:val="center"/>
              <w:rPr>
                <w:rFonts w:cs="Times New Roman" w:asciiTheme="minorEastAsia" w:hAnsiTheme="minorEastAsia"/>
                <w:color w:val="000000" w:themeColor="text1"/>
                <w:kern w:val="0"/>
                <w:szCs w:val="21"/>
                <w:highlight w:val="none"/>
              </w:rPr>
            </w:pPr>
          </w:p>
        </w:tc>
        <w:tc>
          <w:tcPr>
            <w:tcW w:w="1417" w:type="dxa"/>
            <w:vAlign w:val="center"/>
          </w:tcPr>
          <w:p>
            <w:pPr>
              <w:spacing w:line="320" w:lineRule="exact"/>
              <w:jc w:val="center"/>
              <w:rPr>
                <w:rFonts w:cs="Times New Roman" w:asciiTheme="minorEastAsia" w:hAnsiTheme="minorEastAsia"/>
                <w:color w:val="000000" w:themeColor="text1"/>
                <w:kern w:val="0"/>
                <w:szCs w:val="21"/>
                <w:highlight w:val="none"/>
              </w:rPr>
            </w:pPr>
          </w:p>
        </w:tc>
        <w:tc>
          <w:tcPr>
            <w:tcW w:w="1985" w:type="dxa"/>
            <w:vAlign w:val="center"/>
          </w:tcPr>
          <w:p>
            <w:pPr>
              <w:spacing w:line="320" w:lineRule="exact"/>
              <w:jc w:val="center"/>
              <w:rPr>
                <w:rFonts w:cs="Times New Roman" w:asciiTheme="minorEastAsia" w:hAnsiTheme="minorEastAsia"/>
                <w:color w:val="000000" w:themeColor="text1"/>
                <w:kern w:val="0"/>
                <w:szCs w:val="21"/>
                <w:highlight w:val="none"/>
              </w:rPr>
            </w:pPr>
          </w:p>
        </w:tc>
        <w:tc>
          <w:tcPr>
            <w:tcW w:w="1223" w:type="dxa"/>
            <w:vAlign w:val="center"/>
          </w:tcPr>
          <w:p>
            <w:pPr>
              <w:spacing w:line="320" w:lineRule="exact"/>
              <w:jc w:val="center"/>
              <w:rPr>
                <w:rFonts w:cs="Times New Roman" w:asciiTheme="minorEastAsia" w:hAnsiTheme="minorEastAsia"/>
                <w:color w:val="000000" w:themeColor="text1"/>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372" w:type="dxa"/>
            <w:vAlign w:val="center"/>
          </w:tcPr>
          <w:p>
            <w:pPr>
              <w:spacing w:line="320" w:lineRule="exact"/>
              <w:jc w:val="center"/>
              <w:rPr>
                <w:rFonts w:cs="Times New Roman" w:asciiTheme="minorEastAsia" w:hAnsiTheme="minorEastAsia"/>
                <w:b/>
                <w:bCs/>
                <w:color w:val="000000" w:themeColor="text1"/>
                <w:kern w:val="0"/>
                <w:sz w:val="10"/>
                <w:szCs w:val="10"/>
                <w:highlight w:val="none"/>
              </w:rPr>
            </w:pPr>
            <w:r>
              <w:rPr>
                <w:rFonts w:hint="eastAsia" w:ascii="宋体" w:hAnsi="宋体" w:eastAsia="宋体" w:cs="Times New Roman"/>
                <w:color w:val="000000" w:themeColor="text1"/>
                <w:sz w:val="16"/>
                <w:szCs w:val="20"/>
                <w:highlight w:val="none"/>
              </w:rPr>
              <w:t>电子证照卡应用</w:t>
            </w:r>
          </w:p>
        </w:tc>
        <w:tc>
          <w:tcPr>
            <w:tcW w:w="1331" w:type="dxa"/>
            <w:vAlign w:val="center"/>
          </w:tcPr>
          <w:p>
            <w:pPr>
              <w:spacing w:line="320" w:lineRule="exact"/>
              <w:jc w:val="center"/>
              <w:rPr>
                <w:rFonts w:cs="Times New Roman" w:asciiTheme="minorEastAsia" w:hAnsiTheme="minorEastAsia"/>
                <w:color w:val="000000" w:themeColor="text1"/>
                <w:kern w:val="0"/>
                <w:szCs w:val="21"/>
                <w:highlight w:val="none"/>
              </w:rPr>
            </w:pPr>
          </w:p>
        </w:tc>
        <w:tc>
          <w:tcPr>
            <w:tcW w:w="1417" w:type="dxa"/>
            <w:vAlign w:val="center"/>
          </w:tcPr>
          <w:p>
            <w:pPr>
              <w:spacing w:line="320" w:lineRule="exact"/>
              <w:jc w:val="center"/>
              <w:rPr>
                <w:rFonts w:cs="Times New Roman" w:asciiTheme="minorEastAsia" w:hAnsiTheme="minorEastAsia"/>
                <w:color w:val="000000" w:themeColor="text1"/>
                <w:kern w:val="0"/>
                <w:szCs w:val="21"/>
                <w:highlight w:val="none"/>
              </w:rPr>
            </w:pPr>
          </w:p>
        </w:tc>
        <w:tc>
          <w:tcPr>
            <w:tcW w:w="1985" w:type="dxa"/>
            <w:vAlign w:val="center"/>
          </w:tcPr>
          <w:p>
            <w:pPr>
              <w:spacing w:line="320" w:lineRule="exact"/>
              <w:jc w:val="center"/>
              <w:rPr>
                <w:rFonts w:cs="Times New Roman" w:asciiTheme="minorEastAsia" w:hAnsiTheme="minorEastAsia"/>
                <w:color w:val="000000" w:themeColor="text1"/>
                <w:kern w:val="0"/>
                <w:szCs w:val="21"/>
                <w:highlight w:val="none"/>
              </w:rPr>
            </w:pPr>
          </w:p>
        </w:tc>
        <w:tc>
          <w:tcPr>
            <w:tcW w:w="1223" w:type="dxa"/>
            <w:vAlign w:val="center"/>
          </w:tcPr>
          <w:p>
            <w:pPr>
              <w:spacing w:line="320" w:lineRule="exact"/>
              <w:jc w:val="center"/>
              <w:rPr>
                <w:rFonts w:cs="Times New Roman" w:asciiTheme="minorEastAsia" w:hAnsiTheme="minorEastAsia"/>
                <w:color w:val="000000" w:themeColor="text1"/>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372" w:type="dxa"/>
            <w:vAlign w:val="center"/>
          </w:tcPr>
          <w:p>
            <w:pPr>
              <w:spacing w:line="320" w:lineRule="exact"/>
              <w:jc w:val="center"/>
              <w:rPr>
                <w:rFonts w:cs="Times New Roman" w:asciiTheme="minorEastAsia" w:hAnsiTheme="minorEastAsia"/>
                <w:b/>
                <w:bCs/>
                <w:color w:val="000000" w:themeColor="text1"/>
                <w:kern w:val="0"/>
                <w:sz w:val="10"/>
                <w:szCs w:val="10"/>
                <w:highlight w:val="none"/>
              </w:rPr>
            </w:pPr>
            <w:r>
              <w:rPr>
                <w:rFonts w:hint="eastAsia" w:ascii="宋体" w:hAnsi="宋体" w:eastAsia="宋体" w:cs="Times New Roman"/>
                <w:color w:val="000000" w:themeColor="text1"/>
                <w:sz w:val="16"/>
                <w:szCs w:val="20"/>
                <w:highlight w:val="none"/>
              </w:rPr>
              <w:t>校园一卡通应用</w:t>
            </w:r>
          </w:p>
        </w:tc>
        <w:tc>
          <w:tcPr>
            <w:tcW w:w="1331" w:type="dxa"/>
            <w:vAlign w:val="center"/>
          </w:tcPr>
          <w:p>
            <w:pPr>
              <w:spacing w:line="320" w:lineRule="exact"/>
              <w:jc w:val="center"/>
              <w:rPr>
                <w:rFonts w:cs="Times New Roman" w:asciiTheme="minorEastAsia" w:hAnsiTheme="minorEastAsia"/>
                <w:color w:val="000000" w:themeColor="text1"/>
                <w:kern w:val="0"/>
                <w:szCs w:val="21"/>
                <w:highlight w:val="none"/>
              </w:rPr>
            </w:pPr>
          </w:p>
        </w:tc>
        <w:tc>
          <w:tcPr>
            <w:tcW w:w="1417" w:type="dxa"/>
            <w:vAlign w:val="center"/>
          </w:tcPr>
          <w:p>
            <w:pPr>
              <w:spacing w:line="320" w:lineRule="exact"/>
              <w:jc w:val="center"/>
              <w:rPr>
                <w:rFonts w:cs="Times New Roman" w:asciiTheme="minorEastAsia" w:hAnsiTheme="minorEastAsia"/>
                <w:color w:val="000000" w:themeColor="text1"/>
                <w:kern w:val="0"/>
                <w:szCs w:val="21"/>
                <w:highlight w:val="none"/>
              </w:rPr>
            </w:pPr>
          </w:p>
        </w:tc>
        <w:tc>
          <w:tcPr>
            <w:tcW w:w="1985" w:type="dxa"/>
            <w:vAlign w:val="center"/>
          </w:tcPr>
          <w:p>
            <w:pPr>
              <w:spacing w:line="320" w:lineRule="exact"/>
              <w:jc w:val="center"/>
              <w:rPr>
                <w:rFonts w:cs="Times New Roman" w:asciiTheme="minorEastAsia" w:hAnsiTheme="minorEastAsia"/>
                <w:color w:val="000000" w:themeColor="text1"/>
                <w:kern w:val="0"/>
                <w:szCs w:val="21"/>
                <w:highlight w:val="none"/>
              </w:rPr>
            </w:pPr>
          </w:p>
        </w:tc>
        <w:tc>
          <w:tcPr>
            <w:tcW w:w="1223" w:type="dxa"/>
            <w:vAlign w:val="center"/>
          </w:tcPr>
          <w:p>
            <w:pPr>
              <w:spacing w:line="320" w:lineRule="exact"/>
              <w:jc w:val="center"/>
              <w:rPr>
                <w:rFonts w:cs="Times New Roman" w:asciiTheme="minorEastAsia" w:hAnsiTheme="minorEastAsia"/>
                <w:color w:val="000000" w:themeColor="text1"/>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372" w:type="dxa"/>
            <w:vAlign w:val="center"/>
          </w:tcPr>
          <w:p>
            <w:pPr>
              <w:spacing w:line="320" w:lineRule="exact"/>
              <w:jc w:val="center"/>
              <w:rPr>
                <w:rFonts w:cs="Times New Roman" w:asciiTheme="minorEastAsia" w:hAnsiTheme="minorEastAsia"/>
                <w:b/>
                <w:bCs/>
                <w:color w:val="000000" w:themeColor="text1"/>
                <w:kern w:val="0"/>
                <w:sz w:val="10"/>
                <w:szCs w:val="10"/>
                <w:highlight w:val="none"/>
              </w:rPr>
            </w:pPr>
            <w:r>
              <w:rPr>
                <w:rFonts w:hint="eastAsia" w:ascii="宋体" w:hAnsi="宋体" w:eastAsia="宋体" w:cs="Times New Roman"/>
                <w:color w:val="000000" w:themeColor="text1"/>
                <w:sz w:val="16"/>
                <w:szCs w:val="20"/>
                <w:highlight w:val="none"/>
              </w:rPr>
              <w:t>居民健康卡应用</w:t>
            </w:r>
          </w:p>
        </w:tc>
        <w:tc>
          <w:tcPr>
            <w:tcW w:w="1331" w:type="dxa"/>
            <w:vAlign w:val="center"/>
          </w:tcPr>
          <w:p>
            <w:pPr>
              <w:spacing w:line="320" w:lineRule="exact"/>
              <w:jc w:val="center"/>
              <w:rPr>
                <w:rFonts w:cs="Times New Roman" w:asciiTheme="minorEastAsia" w:hAnsiTheme="minorEastAsia"/>
                <w:color w:val="000000" w:themeColor="text1"/>
                <w:kern w:val="0"/>
                <w:szCs w:val="21"/>
                <w:highlight w:val="none"/>
              </w:rPr>
            </w:pPr>
          </w:p>
        </w:tc>
        <w:tc>
          <w:tcPr>
            <w:tcW w:w="1417" w:type="dxa"/>
            <w:vAlign w:val="center"/>
          </w:tcPr>
          <w:p>
            <w:pPr>
              <w:spacing w:line="320" w:lineRule="exact"/>
              <w:jc w:val="center"/>
              <w:rPr>
                <w:rFonts w:cs="Times New Roman" w:asciiTheme="minorEastAsia" w:hAnsiTheme="minorEastAsia"/>
                <w:color w:val="000000" w:themeColor="text1"/>
                <w:kern w:val="0"/>
                <w:szCs w:val="21"/>
                <w:highlight w:val="none"/>
              </w:rPr>
            </w:pPr>
          </w:p>
        </w:tc>
        <w:tc>
          <w:tcPr>
            <w:tcW w:w="1985" w:type="dxa"/>
            <w:vAlign w:val="center"/>
          </w:tcPr>
          <w:p>
            <w:pPr>
              <w:spacing w:line="320" w:lineRule="exact"/>
              <w:jc w:val="center"/>
              <w:rPr>
                <w:rFonts w:cs="Times New Roman" w:asciiTheme="minorEastAsia" w:hAnsiTheme="minorEastAsia"/>
                <w:color w:val="000000" w:themeColor="text1"/>
                <w:kern w:val="0"/>
                <w:szCs w:val="21"/>
                <w:highlight w:val="none"/>
              </w:rPr>
            </w:pPr>
          </w:p>
        </w:tc>
        <w:tc>
          <w:tcPr>
            <w:tcW w:w="1223" w:type="dxa"/>
            <w:vAlign w:val="center"/>
          </w:tcPr>
          <w:p>
            <w:pPr>
              <w:spacing w:line="320" w:lineRule="exact"/>
              <w:jc w:val="center"/>
              <w:rPr>
                <w:rFonts w:cs="Times New Roman" w:asciiTheme="minorEastAsia" w:hAnsiTheme="minorEastAsia"/>
                <w:color w:val="000000" w:themeColor="text1"/>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372" w:type="dxa"/>
            <w:vAlign w:val="center"/>
          </w:tcPr>
          <w:p>
            <w:pPr>
              <w:spacing w:line="320" w:lineRule="exact"/>
              <w:jc w:val="center"/>
              <w:rPr>
                <w:rFonts w:ascii="宋体" w:hAnsi="宋体" w:eastAsia="宋体" w:cs="Times New Roman"/>
                <w:color w:val="000000" w:themeColor="text1"/>
                <w:sz w:val="16"/>
                <w:szCs w:val="20"/>
                <w:highlight w:val="none"/>
              </w:rPr>
            </w:pPr>
            <w:r>
              <w:rPr>
                <w:rFonts w:hint="eastAsia" w:ascii="宋体" w:hAnsi="宋体" w:eastAsia="宋体" w:cs="Times New Roman"/>
                <w:color w:val="000000" w:themeColor="text1"/>
                <w:sz w:val="16"/>
                <w:szCs w:val="20"/>
                <w:highlight w:val="none"/>
              </w:rPr>
              <w:t>铁路行业应用</w:t>
            </w:r>
          </w:p>
        </w:tc>
        <w:tc>
          <w:tcPr>
            <w:tcW w:w="1331" w:type="dxa"/>
            <w:vAlign w:val="center"/>
          </w:tcPr>
          <w:p>
            <w:pPr>
              <w:spacing w:line="320" w:lineRule="exact"/>
              <w:jc w:val="center"/>
              <w:rPr>
                <w:rFonts w:cs="Times New Roman" w:asciiTheme="minorEastAsia" w:hAnsiTheme="minorEastAsia"/>
                <w:color w:val="000000" w:themeColor="text1"/>
                <w:kern w:val="0"/>
                <w:szCs w:val="21"/>
                <w:highlight w:val="none"/>
              </w:rPr>
            </w:pPr>
          </w:p>
        </w:tc>
        <w:tc>
          <w:tcPr>
            <w:tcW w:w="1417" w:type="dxa"/>
            <w:vAlign w:val="center"/>
          </w:tcPr>
          <w:p>
            <w:pPr>
              <w:spacing w:line="320" w:lineRule="exact"/>
              <w:jc w:val="center"/>
              <w:rPr>
                <w:rFonts w:cs="Times New Roman" w:asciiTheme="minorEastAsia" w:hAnsiTheme="minorEastAsia"/>
                <w:color w:val="000000" w:themeColor="text1"/>
                <w:kern w:val="0"/>
                <w:szCs w:val="21"/>
                <w:highlight w:val="none"/>
              </w:rPr>
            </w:pPr>
          </w:p>
        </w:tc>
        <w:tc>
          <w:tcPr>
            <w:tcW w:w="1985" w:type="dxa"/>
            <w:vAlign w:val="center"/>
          </w:tcPr>
          <w:p>
            <w:pPr>
              <w:spacing w:line="320" w:lineRule="exact"/>
              <w:jc w:val="center"/>
              <w:rPr>
                <w:rFonts w:cs="Times New Roman" w:asciiTheme="minorEastAsia" w:hAnsiTheme="minorEastAsia"/>
                <w:color w:val="000000" w:themeColor="text1"/>
                <w:kern w:val="0"/>
                <w:szCs w:val="21"/>
                <w:highlight w:val="none"/>
              </w:rPr>
            </w:pPr>
          </w:p>
        </w:tc>
        <w:tc>
          <w:tcPr>
            <w:tcW w:w="1223" w:type="dxa"/>
            <w:vAlign w:val="center"/>
          </w:tcPr>
          <w:p>
            <w:pPr>
              <w:spacing w:line="320" w:lineRule="exact"/>
              <w:jc w:val="center"/>
              <w:rPr>
                <w:rFonts w:cs="Times New Roman" w:asciiTheme="minorEastAsia" w:hAnsiTheme="minorEastAsia"/>
                <w:color w:val="000000" w:themeColor="text1"/>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372" w:type="dxa"/>
            <w:vAlign w:val="center"/>
          </w:tcPr>
          <w:p>
            <w:pPr>
              <w:spacing w:line="320" w:lineRule="exact"/>
              <w:jc w:val="center"/>
              <w:rPr>
                <w:rFonts w:ascii="宋体" w:hAnsi="宋体" w:eastAsia="宋体" w:cs="Times New Roman"/>
                <w:color w:val="000000" w:themeColor="text1"/>
                <w:sz w:val="16"/>
                <w:szCs w:val="20"/>
                <w:highlight w:val="none"/>
              </w:rPr>
            </w:pPr>
            <w:r>
              <w:rPr>
                <w:rFonts w:hint="eastAsia" w:ascii="宋体" w:hAnsi="宋体" w:eastAsia="宋体" w:cs="Times New Roman"/>
                <w:color w:val="000000" w:themeColor="text1"/>
                <w:sz w:val="16"/>
                <w:szCs w:val="20"/>
                <w:highlight w:val="none"/>
              </w:rPr>
              <w:t>居住证应用行业</w:t>
            </w:r>
          </w:p>
        </w:tc>
        <w:tc>
          <w:tcPr>
            <w:tcW w:w="1331" w:type="dxa"/>
            <w:vAlign w:val="center"/>
          </w:tcPr>
          <w:p>
            <w:pPr>
              <w:spacing w:line="320" w:lineRule="exact"/>
              <w:jc w:val="center"/>
              <w:rPr>
                <w:rFonts w:cs="Times New Roman" w:asciiTheme="minorEastAsia" w:hAnsiTheme="minorEastAsia"/>
                <w:color w:val="000000" w:themeColor="text1"/>
                <w:kern w:val="0"/>
                <w:szCs w:val="21"/>
                <w:highlight w:val="none"/>
              </w:rPr>
            </w:pPr>
          </w:p>
        </w:tc>
        <w:tc>
          <w:tcPr>
            <w:tcW w:w="1417" w:type="dxa"/>
            <w:vAlign w:val="center"/>
          </w:tcPr>
          <w:p>
            <w:pPr>
              <w:spacing w:line="320" w:lineRule="exact"/>
              <w:jc w:val="center"/>
              <w:rPr>
                <w:rFonts w:cs="Times New Roman" w:asciiTheme="minorEastAsia" w:hAnsiTheme="minorEastAsia"/>
                <w:color w:val="000000" w:themeColor="text1"/>
                <w:kern w:val="0"/>
                <w:szCs w:val="21"/>
                <w:highlight w:val="none"/>
              </w:rPr>
            </w:pPr>
          </w:p>
        </w:tc>
        <w:tc>
          <w:tcPr>
            <w:tcW w:w="1985" w:type="dxa"/>
            <w:vAlign w:val="center"/>
          </w:tcPr>
          <w:p>
            <w:pPr>
              <w:spacing w:line="320" w:lineRule="exact"/>
              <w:jc w:val="center"/>
              <w:rPr>
                <w:rFonts w:cs="Times New Roman" w:asciiTheme="minorEastAsia" w:hAnsiTheme="minorEastAsia"/>
                <w:color w:val="000000" w:themeColor="text1"/>
                <w:kern w:val="0"/>
                <w:szCs w:val="21"/>
                <w:highlight w:val="none"/>
              </w:rPr>
            </w:pPr>
          </w:p>
        </w:tc>
        <w:tc>
          <w:tcPr>
            <w:tcW w:w="1223" w:type="dxa"/>
            <w:vAlign w:val="center"/>
          </w:tcPr>
          <w:p>
            <w:pPr>
              <w:spacing w:line="320" w:lineRule="exact"/>
              <w:jc w:val="center"/>
              <w:rPr>
                <w:rFonts w:cs="Times New Roman" w:asciiTheme="minorEastAsia" w:hAnsiTheme="minorEastAsia"/>
                <w:color w:val="000000" w:themeColor="text1"/>
                <w:kern w:val="0"/>
                <w:szCs w:val="21"/>
                <w:highlight w:val="none"/>
              </w:rPr>
            </w:pPr>
          </w:p>
        </w:tc>
      </w:tr>
    </w:tbl>
    <w:p>
      <w:pPr>
        <w:spacing w:line="320" w:lineRule="exact"/>
        <w:rPr>
          <w:rFonts w:cs="Times New Roman" w:asciiTheme="minorEastAsia" w:hAnsiTheme="minorEastAsia"/>
          <w:color w:val="000000" w:themeColor="text1"/>
          <w:szCs w:val="21"/>
          <w:highlight w:val="none"/>
        </w:rPr>
      </w:pPr>
      <w:r>
        <w:rPr>
          <w:rFonts w:hint="eastAsia" w:cs="Times New Roman" w:asciiTheme="minorEastAsia" w:hAnsiTheme="minorEastAsia"/>
          <w:color w:val="000000" w:themeColor="text1"/>
          <w:szCs w:val="21"/>
          <w:highlight w:val="none"/>
        </w:rPr>
        <w:t>说明：1、每个案例均须提供证明材料。案例证明材料的提供按招标文件相关要求执行。</w:t>
      </w:r>
    </w:p>
    <w:p>
      <w:pPr>
        <w:spacing w:line="320" w:lineRule="exact"/>
        <w:ind w:firstLine="630" w:firstLineChars="300"/>
        <w:rPr>
          <w:rFonts w:cs="Times New Roman" w:asciiTheme="minorEastAsia" w:hAnsiTheme="minorEastAsia"/>
          <w:color w:val="000000" w:themeColor="text1"/>
          <w:szCs w:val="21"/>
          <w:highlight w:val="none"/>
        </w:rPr>
      </w:pPr>
      <w:r>
        <w:rPr>
          <w:rFonts w:hint="eastAsia" w:cs="Times New Roman" w:asciiTheme="minorEastAsia" w:hAnsiTheme="minorEastAsia"/>
          <w:color w:val="000000" w:themeColor="text1"/>
          <w:szCs w:val="21"/>
          <w:highlight w:val="none"/>
        </w:rPr>
        <w:t>2、请投标人根据实际情况如实填写上述内容，此表不可扩展。</w:t>
      </w:r>
    </w:p>
    <w:p>
      <w:pPr>
        <w:spacing w:line="320" w:lineRule="exact"/>
        <w:ind w:firstLine="420" w:firstLineChars="200"/>
        <w:rPr>
          <w:rFonts w:cs="Times New Roman" w:asciiTheme="minorEastAsia" w:hAnsiTheme="minorEastAsia"/>
          <w:color w:val="000000" w:themeColor="text1"/>
          <w:szCs w:val="21"/>
          <w:highlight w:val="none"/>
        </w:rPr>
      </w:pPr>
    </w:p>
    <w:p>
      <w:pPr>
        <w:spacing w:line="320" w:lineRule="exact"/>
        <w:ind w:firstLine="420" w:firstLineChars="200"/>
        <w:rPr>
          <w:rFonts w:cs="Times New Roman" w:asciiTheme="minorEastAsia" w:hAnsiTheme="minorEastAsia"/>
          <w:color w:val="000000" w:themeColor="text1"/>
          <w:szCs w:val="21"/>
          <w:highlight w:val="none"/>
        </w:rPr>
      </w:pPr>
      <w:r>
        <w:rPr>
          <w:rFonts w:hint="eastAsia" w:cs="Times New Roman" w:asciiTheme="minorEastAsia" w:hAnsiTheme="minorEastAsia"/>
          <w:color w:val="000000" w:themeColor="text1"/>
          <w:szCs w:val="21"/>
          <w:highlight w:val="none"/>
        </w:rPr>
        <w:t>我公司承诺以上内容</w:t>
      </w:r>
      <w:r>
        <w:rPr>
          <w:rFonts w:hint="eastAsia" w:cs="Times New Roman" w:asciiTheme="minorEastAsia" w:hAnsiTheme="minorEastAsia"/>
          <w:color w:val="000000" w:themeColor="text1"/>
          <w:kern w:val="0"/>
          <w:szCs w:val="21"/>
          <w:highlight w:val="none"/>
          <w:u w:val="single"/>
        </w:rPr>
        <w:t>信息都是真实、可靠的。在评标及后续工作中若发现表中信息的真实性、可靠性存在弄虚作假等行为，招标人有权取消我司中标资格并没收我司投标保证金（或履约保证金），我司愿赔偿相应损失并承担一切法律责任。</w:t>
      </w:r>
    </w:p>
    <w:p>
      <w:pPr>
        <w:spacing w:line="360" w:lineRule="auto"/>
        <w:jc w:val="left"/>
        <w:rPr>
          <w:rFonts w:cs="Times New Roman" w:asciiTheme="minorEastAsia" w:hAnsiTheme="minorEastAsia"/>
          <w:color w:val="000000" w:themeColor="text1"/>
          <w:szCs w:val="21"/>
          <w:highlight w:val="none"/>
        </w:rPr>
      </w:pPr>
    </w:p>
    <w:p>
      <w:pPr>
        <w:spacing w:line="360" w:lineRule="auto"/>
        <w:jc w:val="left"/>
        <w:rPr>
          <w:rFonts w:cs="Times New Roman" w:asciiTheme="minorEastAsia" w:hAnsiTheme="minorEastAsia"/>
          <w:b/>
          <w:color w:val="000000" w:themeColor="text1"/>
          <w:szCs w:val="24"/>
          <w:highlight w:val="none"/>
        </w:rPr>
      </w:pPr>
      <w:r>
        <w:rPr>
          <w:rFonts w:hint="eastAsia" w:cs="Times New Roman" w:asciiTheme="minorEastAsia" w:hAnsiTheme="minorEastAsia"/>
          <w:b/>
          <w:color w:val="000000" w:themeColor="text1"/>
          <w:szCs w:val="24"/>
          <w:highlight w:val="none"/>
        </w:rPr>
        <w:t>投标人（公章）：</w:t>
      </w:r>
    </w:p>
    <w:p>
      <w:pPr>
        <w:spacing w:line="360" w:lineRule="auto"/>
        <w:rPr>
          <w:rFonts w:cs="Times New Roman" w:asciiTheme="minorEastAsia" w:hAnsiTheme="minorEastAsia"/>
          <w:b/>
          <w:color w:val="000000" w:themeColor="text1"/>
          <w:szCs w:val="24"/>
          <w:highlight w:val="none"/>
        </w:rPr>
      </w:pPr>
      <w:r>
        <w:rPr>
          <w:rFonts w:cs="Times New Roman" w:asciiTheme="minorEastAsia" w:hAnsiTheme="minorEastAsia"/>
          <w:b/>
          <w:color w:val="000000" w:themeColor="text1"/>
          <w:szCs w:val="24"/>
          <w:highlight w:val="none"/>
        </w:rPr>
        <w:t>法定代表人或其委托代理人：（盖章或签字）</w:t>
      </w:r>
    </w:p>
    <w:p>
      <w:pPr>
        <w:spacing w:line="360" w:lineRule="auto"/>
        <w:ind w:firstLine="517" w:firstLineChars="245"/>
        <w:rPr>
          <w:rFonts w:cs="Times New Roman" w:asciiTheme="minorEastAsia" w:hAnsiTheme="minorEastAsia"/>
          <w:b/>
          <w:color w:val="000000" w:themeColor="text1"/>
          <w:szCs w:val="24"/>
          <w:highlight w:val="none"/>
        </w:rPr>
      </w:pPr>
      <w:r>
        <w:rPr>
          <w:rFonts w:cs="Times New Roman" w:asciiTheme="minorEastAsia" w:hAnsiTheme="minorEastAsia"/>
          <w:b/>
          <w:color w:val="000000" w:themeColor="text1"/>
          <w:szCs w:val="24"/>
          <w:highlight w:val="none"/>
        </w:rPr>
        <w:t>年</w:t>
      </w:r>
      <w:r>
        <w:rPr>
          <w:rFonts w:hint="eastAsia" w:cs="Times New Roman" w:asciiTheme="minorEastAsia" w:hAnsiTheme="minorEastAsia"/>
          <w:b/>
          <w:color w:val="000000" w:themeColor="text1"/>
          <w:szCs w:val="24"/>
          <w:highlight w:val="none"/>
        </w:rPr>
        <w:t xml:space="preserve">  </w:t>
      </w:r>
      <w:r>
        <w:rPr>
          <w:rFonts w:cs="Times New Roman" w:asciiTheme="minorEastAsia" w:hAnsiTheme="minorEastAsia"/>
          <w:b/>
          <w:color w:val="000000" w:themeColor="text1"/>
          <w:szCs w:val="24"/>
          <w:highlight w:val="none"/>
        </w:rPr>
        <w:t>月</w:t>
      </w:r>
      <w:r>
        <w:rPr>
          <w:rFonts w:hint="eastAsia" w:cs="Times New Roman" w:asciiTheme="minorEastAsia" w:hAnsiTheme="minorEastAsia"/>
          <w:b/>
          <w:color w:val="000000" w:themeColor="text1"/>
          <w:szCs w:val="24"/>
          <w:highlight w:val="none"/>
        </w:rPr>
        <w:t xml:space="preserve">  </w:t>
      </w:r>
      <w:r>
        <w:rPr>
          <w:rFonts w:cs="Times New Roman" w:asciiTheme="minorEastAsia" w:hAnsiTheme="minorEastAsia"/>
          <w:b/>
          <w:color w:val="000000" w:themeColor="text1"/>
          <w:szCs w:val="24"/>
          <w:highlight w:val="none"/>
        </w:rPr>
        <w:t>日</w:t>
      </w:r>
    </w:p>
    <w:p>
      <w:pPr>
        <w:spacing w:line="240" w:lineRule="exact"/>
        <w:rPr>
          <w:color w:val="000000" w:themeColor="text1"/>
          <w:highlight w:val="none"/>
        </w:rPr>
      </w:pPr>
    </w:p>
    <w:sectPr>
      <w:headerReference r:id="rId11" w:type="default"/>
      <w:footerReference r:id="rId12" w:type="default"/>
      <w:pgSz w:w="11906" w:h="16838"/>
      <w:pgMar w:top="1440" w:right="1797" w:bottom="993" w:left="1644" w:header="851" w:footer="992" w:gutter="0"/>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lvin" w:date="2019-08-19T09:21:00Z" w:initials="Alvin">
    <w:p>
      <w:pPr>
        <w:pStyle w:val="12"/>
      </w:pPr>
      <w:r>
        <w:rPr>
          <w:rFonts w:hint="eastAsia"/>
        </w:rPr>
        <w:t>不需要</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幼圆">
    <w:altName w:val="宋体"/>
    <w:panose1 w:val="0201050906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新宋体">
    <w:panose1 w:val="02010609030101010101"/>
    <w:charset w:val="86"/>
    <w:family w:val="modern"/>
    <w:pitch w:val="default"/>
    <w:sig w:usb0="00000003" w:usb1="288F0000" w:usb2="00000006" w:usb3="00000000" w:csb0="00040001" w:csb1="00000000"/>
  </w:font>
  <w:font w:name="Corbel">
    <w:panose1 w:val="020B0503020204020204"/>
    <w:charset w:val="00"/>
    <w:family w:val="swiss"/>
    <w:pitch w:val="default"/>
    <w:sig w:usb0="A00002EF" w:usb1="4000A44B" w:usb2="00000000" w:usb3="00000000" w:csb0="2000019F" w:csb1="00000000"/>
  </w:font>
  <w:font w:name="等线 Light">
    <w:altName w:val="宋体"/>
    <w:panose1 w:val="00000000000000000000"/>
    <w:charset w:val="86"/>
    <w:family w:val="auto"/>
    <w:pitch w:val="default"/>
    <w:sig w:usb0="00000000" w:usb1="00000000" w:usb2="00000016" w:usb3="00000000" w:csb0="0004000F" w:csb1="00000000"/>
  </w:font>
  <w:font w:name="Futura Bk">
    <w:altName w:val="Segoe Print"/>
    <w:panose1 w:val="00000000000000000000"/>
    <w:charset w:val="00"/>
    <w:family w:val="swiss"/>
    <w:pitch w:val="default"/>
    <w:sig w:usb0="00000000" w:usb1="00000000" w:usb2="00000000" w:usb3="00000000" w:csb0="0000009F" w:csb1="00000000"/>
  </w:font>
  <w:font w:name="KLRFJD+ËÎÌå">
    <w:altName w:val="Segoe Print"/>
    <w:panose1 w:val="00000000000000000000"/>
    <w:charset w:val="01"/>
    <w:family w:val="auto"/>
    <w:pitch w:val="default"/>
    <w:sig w:usb0="00000000" w:usb1="00000000" w:usb2="01010101" w:usb3="01010101" w:csb0="01010101" w:csb1="01010101"/>
  </w:font>
  <w:font w:name="MGKSBI+ËÎÌå">
    <w:altName w:val="Segoe Print"/>
    <w:panose1 w:val="00000000000000000000"/>
    <w:charset w:val="01"/>
    <w:family w:val="auto"/>
    <w:pitch w:val="default"/>
    <w:sig w:usb0="00000000" w:usb1="00000000" w:usb2="01010101" w:usb3="01010101" w:csb0="01010101" w:csb1="01010101"/>
  </w:font>
  <w:font w:name="方正仿宋_GBK">
    <w:altName w:val="微软雅黑"/>
    <w:panose1 w:val="03000509000000000000"/>
    <w:charset w:val="86"/>
    <w:family w:val="script"/>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宋体-18030">
    <w:altName w:val="微软雅黑"/>
    <w:panose1 w:val="00000000000000000000"/>
    <w:charset w:val="86"/>
    <w:family w:val="modern"/>
    <w:pitch w:val="default"/>
    <w:sig w:usb0="00000000" w:usb1="00000000" w:usb2="000A005E" w:usb3="00000000" w:csb0="00040001"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Segoe Print">
    <w:panose1 w:val="02000600000000000000"/>
    <w:charset w:val="01"/>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28642079"/>
    </w:sdtPr>
    <w:sdtContent>
      <w:p>
        <w:pPr>
          <w:pStyle w:val="31"/>
          <w:jc w:val="center"/>
        </w:pPr>
        <w:r>
          <w:fldChar w:fldCharType="begin"/>
        </w:r>
        <w:r>
          <w:instrText xml:space="preserve">PAGE   \* MERGEFORMAT</w:instrText>
        </w:r>
        <w:r>
          <w:fldChar w:fldCharType="separate"/>
        </w:r>
        <w:r>
          <w:rPr>
            <w:lang w:val="zh-CN"/>
          </w:rPr>
          <w:t>1</w:t>
        </w:r>
        <w:r>
          <w:rPr>
            <w:lang w:val="zh-C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4104156"/>
    </w:sdtPr>
    <w:sdtContent>
      <w:p>
        <w:pPr>
          <w:pStyle w:val="31"/>
          <w:jc w:val="center"/>
        </w:pPr>
        <w:r>
          <w:fldChar w:fldCharType="begin"/>
        </w:r>
        <w:r>
          <w:instrText xml:space="preserve">PAGE   \* MERGEFORMAT</w:instrText>
        </w:r>
        <w:r>
          <w:fldChar w:fldCharType="separate"/>
        </w:r>
        <w:r>
          <w:rPr>
            <w:lang w:val="zh-CN"/>
          </w:rPr>
          <w:t>21</w:t>
        </w:r>
        <w:r>
          <w:rPr>
            <w:lang w:val="zh-CN"/>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jc w:val="center"/>
    </w:pPr>
    <w:r>
      <w:fldChar w:fldCharType="begin"/>
    </w:r>
    <w:r>
      <w:instrText xml:space="preserve">PAGE   \* MERGEFORMAT</w:instrText>
    </w:r>
    <w:r>
      <w:fldChar w:fldCharType="separate"/>
    </w:r>
    <w:r>
      <w:rPr>
        <w:lang w:val="zh-CN"/>
      </w:rPr>
      <w:t>71</w:t>
    </w:r>
    <w:r>
      <w:rPr>
        <w:lang w:val="zh-CN"/>
      </w:rPr>
      <w:fldChar w:fldCharType="end"/>
    </w:r>
  </w:p>
  <w:p>
    <w:pPr>
      <w:pStyle w:val="3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none" w:color="auto" w:sz="0" w:space="0"/>
      </w:pBdr>
      <w:jc w:val="left"/>
      <w:rPr>
        <w:rFonts w:asciiTheme="minorEastAsia" w:hAnsiTheme="minorEastAsia"/>
        <w:i/>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none" w:color="auto" w:sz="0" w:space="0"/>
      </w:pBdr>
      <w:jc w:val="left"/>
      <w:rPr>
        <w:rFonts w:asciiTheme="minorEastAsia" w:hAnsiTheme="minorEastAsia"/>
        <w:i/>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none" w:color="auto" w:sz="0" w:space="0"/>
      </w:pBdr>
      <w:jc w:val="left"/>
      <w:rPr>
        <w:rFonts w:asciiTheme="minorEastAsia" w:hAnsiTheme="minorEastAsia"/>
        <w:i/>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7454D"/>
    <w:multiLevelType w:val="multilevel"/>
    <w:tmpl w:val="0137454D"/>
    <w:lvl w:ilvl="0" w:tentative="0">
      <w:start w:val="1"/>
      <w:numFmt w:val="bullet"/>
      <w:pStyle w:val="212"/>
      <w:lvlText w:val=""/>
      <w:lvlJc w:val="left"/>
      <w:pPr>
        <w:tabs>
          <w:tab w:val="left" w:pos="620"/>
        </w:tabs>
        <w:ind w:left="620" w:hanging="420"/>
      </w:pPr>
      <w:rPr>
        <w:rFonts w:hint="default" w:ascii="Wingdings" w:hAnsi="Wingdings"/>
      </w:rPr>
    </w:lvl>
    <w:lvl w:ilvl="1" w:tentative="0">
      <w:start w:val="1"/>
      <w:numFmt w:val="bullet"/>
      <w:lvlText w:val=""/>
      <w:lvlJc w:val="left"/>
      <w:pPr>
        <w:tabs>
          <w:tab w:val="left" w:pos="1040"/>
        </w:tabs>
        <w:ind w:left="1040" w:hanging="420"/>
      </w:pPr>
      <w:rPr>
        <w:rFonts w:hint="default" w:ascii="Wingdings" w:hAnsi="Wingdings"/>
      </w:rPr>
    </w:lvl>
    <w:lvl w:ilvl="2" w:tentative="0">
      <w:start w:val="1"/>
      <w:numFmt w:val="bullet"/>
      <w:lvlText w:val=""/>
      <w:lvlJc w:val="left"/>
      <w:pPr>
        <w:tabs>
          <w:tab w:val="left" w:pos="1460"/>
        </w:tabs>
        <w:ind w:left="1460" w:hanging="420"/>
      </w:pPr>
      <w:rPr>
        <w:rFonts w:hint="default" w:ascii="Wingdings" w:hAnsi="Wingdings"/>
      </w:rPr>
    </w:lvl>
    <w:lvl w:ilvl="3" w:tentative="0">
      <w:start w:val="1"/>
      <w:numFmt w:val="bullet"/>
      <w:lvlText w:val=""/>
      <w:lvlJc w:val="left"/>
      <w:pPr>
        <w:tabs>
          <w:tab w:val="left" w:pos="1880"/>
        </w:tabs>
        <w:ind w:left="1880" w:hanging="420"/>
      </w:pPr>
      <w:rPr>
        <w:rFonts w:hint="default" w:ascii="Wingdings" w:hAnsi="Wingdings"/>
      </w:rPr>
    </w:lvl>
    <w:lvl w:ilvl="4" w:tentative="0">
      <w:start w:val="1"/>
      <w:numFmt w:val="bullet"/>
      <w:lvlText w:val=""/>
      <w:lvlJc w:val="left"/>
      <w:pPr>
        <w:tabs>
          <w:tab w:val="left" w:pos="2300"/>
        </w:tabs>
        <w:ind w:left="2300" w:hanging="420"/>
      </w:pPr>
      <w:rPr>
        <w:rFonts w:hint="default" w:ascii="Wingdings" w:hAnsi="Wingdings"/>
      </w:rPr>
    </w:lvl>
    <w:lvl w:ilvl="5" w:tentative="0">
      <w:start w:val="1"/>
      <w:numFmt w:val="bullet"/>
      <w:lvlText w:val=""/>
      <w:lvlJc w:val="left"/>
      <w:pPr>
        <w:tabs>
          <w:tab w:val="left" w:pos="2720"/>
        </w:tabs>
        <w:ind w:left="2720" w:hanging="420"/>
      </w:pPr>
      <w:rPr>
        <w:rFonts w:hint="default" w:ascii="Wingdings" w:hAnsi="Wingdings"/>
      </w:rPr>
    </w:lvl>
    <w:lvl w:ilvl="6" w:tentative="0">
      <w:start w:val="1"/>
      <w:numFmt w:val="bullet"/>
      <w:lvlText w:val=""/>
      <w:lvlJc w:val="left"/>
      <w:pPr>
        <w:tabs>
          <w:tab w:val="left" w:pos="3140"/>
        </w:tabs>
        <w:ind w:left="3140" w:hanging="420"/>
      </w:pPr>
      <w:rPr>
        <w:rFonts w:hint="default" w:ascii="Wingdings" w:hAnsi="Wingdings"/>
      </w:rPr>
    </w:lvl>
    <w:lvl w:ilvl="7" w:tentative="0">
      <w:start w:val="1"/>
      <w:numFmt w:val="bullet"/>
      <w:lvlText w:val=""/>
      <w:lvlJc w:val="left"/>
      <w:pPr>
        <w:tabs>
          <w:tab w:val="left" w:pos="3560"/>
        </w:tabs>
        <w:ind w:left="3560" w:hanging="420"/>
      </w:pPr>
      <w:rPr>
        <w:rFonts w:hint="default" w:ascii="Wingdings" w:hAnsi="Wingdings"/>
      </w:rPr>
    </w:lvl>
    <w:lvl w:ilvl="8" w:tentative="0">
      <w:start w:val="1"/>
      <w:numFmt w:val="bullet"/>
      <w:lvlText w:val=""/>
      <w:lvlJc w:val="left"/>
      <w:pPr>
        <w:tabs>
          <w:tab w:val="left" w:pos="3980"/>
        </w:tabs>
        <w:ind w:left="3980" w:hanging="420"/>
      </w:pPr>
      <w:rPr>
        <w:rFonts w:hint="default" w:ascii="Wingdings" w:hAnsi="Wingdings"/>
      </w:rPr>
    </w:lvl>
  </w:abstractNum>
  <w:abstractNum w:abstractNumId="1">
    <w:nsid w:val="410B08DA"/>
    <w:multiLevelType w:val="multilevel"/>
    <w:tmpl w:val="410B08DA"/>
    <w:lvl w:ilvl="0" w:tentative="0">
      <w:start w:val="1"/>
      <w:numFmt w:val="decimal"/>
      <w:lvlText w:val="（%1）"/>
      <w:lvlJc w:val="left"/>
      <w:pPr>
        <w:ind w:left="0" w:hanging="720"/>
      </w:pPr>
      <w:rPr>
        <w:rFonts w:hint="default"/>
      </w:rPr>
    </w:lvl>
    <w:lvl w:ilvl="1" w:tentative="0">
      <w:start w:val="1"/>
      <w:numFmt w:val="lowerLetter"/>
      <w:lvlText w:val="%2)"/>
      <w:lvlJc w:val="left"/>
      <w:pPr>
        <w:ind w:left="120" w:hanging="420"/>
      </w:pPr>
    </w:lvl>
    <w:lvl w:ilvl="2" w:tentative="0">
      <w:start w:val="1"/>
      <w:numFmt w:val="lowerRoman"/>
      <w:lvlText w:val="%3."/>
      <w:lvlJc w:val="right"/>
      <w:pPr>
        <w:ind w:left="540" w:hanging="420"/>
      </w:pPr>
    </w:lvl>
    <w:lvl w:ilvl="3" w:tentative="0">
      <w:start w:val="1"/>
      <w:numFmt w:val="decimal"/>
      <w:lvlText w:val="%4."/>
      <w:lvlJc w:val="left"/>
      <w:pPr>
        <w:ind w:left="960" w:hanging="420"/>
      </w:pPr>
    </w:lvl>
    <w:lvl w:ilvl="4" w:tentative="0">
      <w:start w:val="1"/>
      <w:numFmt w:val="lowerLetter"/>
      <w:lvlText w:val="%5)"/>
      <w:lvlJc w:val="left"/>
      <w:pPr>
        <w:ind w:left="1380" w:hanging="420"/>
      </w:pPr>
    </w:lvl>
    <w:lvl w:ilvl="5" w:tentative="0">
      <w:start w:val="1"/>
      <w:numFmt w:val="lowerRoman"/>
      <w:lvlText w:val="%6."/>
      <w:lvlJc w:val="right"/>
      <w:pPr>
        <w:ind w:left="1800" w:hanging="420"/>
      </w:pPr>
    </w:lvl>
    <w:lvl w:ilvl="6" w:tentative="0">
      <w:start w:val="1"/>
      <w:numFmt w:val="decimal"/>
      <w:lvlText w:val="%7."/>
      <w:lvlJc w:val="left"/>
      <w:pPr>
        <w:ind w:left="2220" w:hanging="420"/>
      </w:pPr>
    </w:lvl>
    <w:lvl w:ilvl="7" w:tentative="0">
      <w:start w:val="1"/>
      <w:numFmt w:val="lowerLetter"/>
      <w:lvlText w:val="%8)"/>
      <w:lvlJc w:val="left"/>
      <w:pPr>
        <w:ind w:left="2640" w:hanging="420"/>
      </w:pPr>
    </w:lvl>
    <w:lvl w:ilvl="8" w:tentative="0">
      <w:start w:val="1"/>
      <w:numFmt w:val="lowerRoman"/>
      <w:lvlText w:val="%9."/>
      <w:lvlJc w:val="right"/>
      <w:pPr>
        <w:ind w:left="3060" w:hanging="420"/>
      </w:pPr>
    </w:lvl>
  </w:abstractNum>
  <w:abstractNum w:abstractNumId="2">
    <w:nsid w:val="45F16AF5"/>
    <w:multiLevelType w:val="singleLevel"/>
    <w:tmpl w:val="45F16AF5"/>
    <w:lvl w:ilvl="0" w:tentative="0">
      <w:start w:val="1"/>
      <w:numFmt w:val="bullet"/>
      <w:pStyle w:val="137"/>
      <w:lvlText w:val=""/>
      <w:lvlJc w:val="left"/>
      <w:pPr>
        <w:tabs>
          <w:tab w:val="left" w:pos="425"/>
        </w:tabs>
        <w:ind w:left="425" w:hanging="425"/>
      </w:pPr>
      <w:rPr>
        <w:rFonts w:hint="default" w:ascii="Wingdings" w:hAnsi="Wingdings"/>
        <w:sz w:val="18"/>
      </w:rPr>
    </w:lvl>
  </w:abstractNum>
  <w:abstractNum w:abstractNumId="3">
    <w:nsid w:val="52A010F1"/>
    <w:multiLevelType w:val="singleLevel"/>
    <w:tmpl w:val="52A010F1"/>
    <w:lvl w:ilvl="0" w:tentative="0">
      <w:start w:val="1"/>
      <w:numFmt w:val="chineseCountingThousand"/>
      <w:pStyle w:val="196"/>
      <w:lvlText w:val="%1."/>
      <w:lvlJc w:val="left"/>
      <w:pPr>
        <w:tabs>
          <w:tab w:val="left" w:pos="425"/>
        </w:tabs>
        <w:ind w:left="425" w:hanging="425"/>
      </w:pPr>
      <w:rPr>
        <w:rFonts w:hint="eastAsia"/>
      </w:rPr>
    </w:lvl>
  </w:abstractNum>
  <w:abstractNum w:abstractNumId="4">
    <w:nsid w:val="562F08AA"/>
    <w:multiLevelType w:val="multilevel"/>
    <w:tmpl w:val="562F08AA"/>
    <w:lvl w:ilvl="0" w:tentative="0">
      <w:start w:val="1"/>
      <w:numFmt w:val="chineseCountingThousand"/>
      <w:pStyle w:val="87"/>
      <w:lvlText w:val="%1、"/>
      <w:lvlJc w:val="left"/>
      <w:pPr>
        <w:ind w:left="420"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5CC7ED63"/>
    <w:multiLevelType w:val="singleLevel"/>
    <w:tmpl w:val="5CC7ED63"/>
    <w:lvl w:ilvl="0" w:tentative="0">
      <w:start w:val="1"/>
      <w:numFmt w:val="decimal"/>
      <w:suff w:val="nothing"/>
      <w:lvlText w:val="（%1）"/>
      <w:lvlJc w:val="left"/>
    </w:lvl>
  </w:abstractNum>
  <w:abstractNum w:abstractNumId="6">
    <w:nsid w:val="5DD44FC1"/>
    <w:multiLevelType w:val="multilevel"/>
    <w:tmpl w:val="5DD44FC1"/>
    <w:lvl w:ilvl="0" w:tentative="0">
      <w:start w:val="1"/>
      <w:numFmt w:val="bullet"/>
      <w:pStyle w:val="110"/>
      <w:lvlText w:val="–"/>
      <w:lvlJc w:val="left"/>
      <w:pPr>
        <w:tabs>
          <w:tab w:val="left" w:pos="360"/>
        </w:tabs>
        <w:ind w:left="288" w:hanging="288"/>
      </w:pPr>
      <w:rPr>
        <w:rFonts w:hint="default" w:ascii="Times New Roman" w:hAnsi="Times New Roman" w:cs="Times New Roman"/>
      </w:rPr>
    </w:lvl>
    <w:lvl w:ilvl="1" w:tentative="0">
      <w:start w:val="1"/>
      <w:numFmt w:val="bullet"/>
      <w:lvlText w:val="o"/>
      <w:lvlJc w:val="left"/>
      <w:pPr>
        <w:tabs>
          <w:tab w:val="left" w:pos="749"/>
        </w:tabs>
        <w:ind w:left="749" w:hanging="360"/>
      </w:pPr>
      <w:rPr>
        <w:rFonts w:hint="default" w:ascii="Courier New" w:hAnsi="Courier New" w:cs="Courier New"/>
      </w:rPr>
    </w:lvl>
    <w:lvl w:ilvl="2" w:tentative="0">
      <w:start w:val="1"/>
      <w:numFmt w:val="bullet"/>
      <w:lvlText w:val=""/>
      <w:lvlJc w:val="left"/>
      <w:pPr>
        <w:tabs>
          <w:tab w:val="left" w:pos="1469"/>
        </w:tabs>
        <w:ind w:left="1469" w:hanging="360"/>
      </w:pPr>
      <w:rPr>
        <w:rFonts w:hint="default" w:ascii="Wingdings" w:hAnsi="Wingdings"/>
      </w:rPr>
    </w:lvl>
    <w:lvl w:ilvl="3" w:tentative="0">
      <w:start w:val="1"/>
      <w:numFmt w:val="bullet"/>
      <w:lvlText w:val=""/>
      <w:lvlJc w:val="left"/>
      <w:pPr>
        <w:tabs>
          <w:tab w:val="left" w:pos="2189"/>
        </w:tabs>
        <w:ind w:left="2189" w:hanging="360"/>
      </w:pPr>
      <w:rPr>
        <w:rFonts w:hint="default" w:ascii="Symbol" w:hAnsi="Symbol"/>
      </w:rPr>
    </w:lvl>
    <w:lvl w:ilvl="4" w:tentative="0">
      <w:start w:val="1"/>
      <w:numFmt w:val="bullet"/>
      <w:lvlText w:val="o"/>
      <w:lvlJc w:val="left"/>
      <w:pPr>
        <w:tabs>
          <w:tab w:val="left" w:pos="2909"/>
        </w:tabs>
        <w:ind w:left="2909" w:hanging="360"/>
      </w:pPr>
      <w:rPr>
        <w:rFonts w:hint="default" w:ascii="Courier New" w:hAnsi="Courier New" w:cs="Courier New"/>
      </w:rPr>
    </w:lvl>
    <w:lvl w:ilvl="5" w:tentative="0">
      <w:start w:val="1"/>
      <w:numFmt w:val="bullet"/>
      <w:lvlText w:val=""/>
      <w:lvlJc w:val="left"/>
      <w:pPr>
        <w:tabs>
          <w:tab w:val="left" w:pos="3629"/>
        </w:tabs>
        <w:ind w:left="3629" w:hanging="360"/>
      </w:pPr>
      <w:rPr>
        <w:rFonts w:hint="default" w:ascii="Wingdings" w:hAnsi="Wingdings"/>
      </w:rPr>
    </w:lvl>
    <w:lvl w:ilvl="6" w:tentative="0">
      <w:start w:val="1"/>
      <w:numFmt w:val="bullet"/>
      <w:lvlText w:val=""/>
      <w:lvlJc w:val="left"/>
      <w:pPr>
        <w:tabs>
          <w:tab w:val="left" w:pos="4349"/>
        </w:tabs>
        <w:ind w:left="4349" w:hanging="360"/>
      </w:pPr>
      <w:rPr>
        <w:rFonts w:hint="default" w:ascii="Symbol" w:hAnsi="Symbol"/>
      </w:rPr>
    </w:lvl>
    <w:lvl w:ilvl="7" w:tentative="0">
      <w:start w:val="1"/>
      <w:numFmt w:val="bullet"/>
      <w:lvlText w:val="o"/>
      <w:lvlJc w:val="left"/>
      <w:pPr>
        <w:tabs>
          <w:tab w:val="left" w:pos="5069"/>
        </w:tabs>
        <w:ind w:left="5069" w:hanging="360"/>
      </w:pPr>
      <w:rPr>
        <w:rFonts w:hint="default" w:ascii="Courier New" w:hAnsi="Courier New" w:cs="Courier New"/>
      </w:rPr>
    </w:lvl>
    <w:lvl w:ilvl="8" w:tentative="0">
      <w:start w:val="1"/>
      <w:numFmt w:val="bullet"/>
      <w:lvlText w:val=""/>
      <w:lvlJc w:val="left"/>
      <w:pPr>
        <w:tabs>
          <w:tab w:val="left" w:pos="5789"/>
        </w:tabs>
        <w:ind w:left="5789" w:hanging="360"/>
      </w:pPr>
      <w:rPr>
        <w:rFonts w:hint="default" w:ascii="Wingdings" w:hAnsi="Wingdings"/>
      </w:rPr>
    </w:lvl>
  </w:abstractNum>
  <w:abstractNum w:abstractNumId="7">
    <w:nsid w:val="68804DFB"/>
    <w:multiLevelType w:val="multilevel"/>
    <w:tmpl w:val="68804DFB"/>
    <w:lvl w:ilvl="0" w:tentative="0">
      <w:start w:val="1"/>
      <w:numFmt w:val="decimal"/>
      <w:pStyle w:val="270"/>
      <w:lvlText w:val="%1."/>
      <w:lvlJc w:val="left"/>
      <w:pPr>
        <w:tabs>
          <w:tab w:val="left" w:pos="360"/>
        </w:tabs>
        <w:ind w:left="360" w:hanging="360"/>
      </w:pPr>
    </w:lvl>
    <w:lvl w:ilvl="1" w:tentative="0">
      <w:start w:val="1"/>
      <w:numFmt w:val="decimal"/>
      <w:pStyle w:val="271"/>
      <w:lvlText w:val="%1.%2."/>
      <w:lvlJc w:val="left"/>
      <w:pPr>
        <w:tabs>
          <w:tab w:val="left" w:pos="5490"/>
        </w:tabs>
        <w:ind w:left="5130" w:hanging="360"/>
      </w:pPr>
      <w:rPr>
        <w:lang w:val="en-US"/>
      </w:rPr>
    </w:lvl>
    <w:lvl w:ilvl="2" w:tentative="0">
      <w:start w:val="1"/>
      <w:numFmt w:val="decimal"/>
      <w:pStyle w:val="272"/>
      <w:lvlText w:val="%1.%2.%3."/>
      <w:lvlJc w:val="left"/>
      <w:pPr>
        <w:tabs>
          <w:tab w:val="left" w:pos="1440"/>
        </w:tabs>
        <w:ind w:left="1080" w:hanging="360"/>
      </w:pPr>
    </w:lvl>
    <w:lvl w:ilvl="3" w:tentative="0">
      <w:start w:val="1"/>
      <w:numFmt w:val="decimal"/>
      <w:pStyle w:val="273"/>
      <w:lvlText w:val="%1.%2.%3.%4."/>
      <w:lvlJc w:val="left"/>
      <w:pPr>
        <w:tabs>
          <w:tab w:val="left" w:pos="2160"/>
        </w:tabs>
        <w:ind w:left="1440" w:hanging="360"/>
      </w:pPr>
    </w:lvl>
    <w:lvl w:ilvl="4" w:tentative="0">
      <w:start w:val="1"/>
      <w:numFmt w:val="lowerLetter"/>
      <w:lvlText w:val="(%5)"/>
      <w:lvlJc w:val="left"/>
      <w:pPr>
        <w:tabs>
          <w:tab w:val="left" w:pos="1800"/>
        </w:tabs>
        <w:ind w:left="1800" w:hanging="360"/>
      </w:pPr>
    </w:lvl>
    <w:lvl w:ilvl="5" w:tentative="0">
      <w:start w:val="1"/>
      <w:numFmt w:val="lowerRoman"/>
      <w:lvlText w:val="(%6)"/>
      <w:lvlJc w:val="left"/>
      <w:pPr>
        <w:tabs>
          <w:tab w:val="left" w:pos="2160"/>
        </w:tabs>
        <w:ind w:left="2160" w:hanging="360"/>
      </w:pPr>
    </w:lvl>
    <w:lvl w:ilvl="6" w:tentative="0">
      <w:start w:val="1"/>
      <w:numFmt w:val="decimal"/>
      <w:lvlText w:val="%7."/>
      <w:lvlJc w:val="left"/>
      <w:pPr>
        <w:tabs>
          <w:tab w:val="left" w:pos="2520"/>
        </w:tabs>
        <w:ind w:left="2520" w:hanging="360"/>
      </w:pPr>
    </w:lvl>
    <w:lvl w:ilvl="7" w:tentative="0">
      <w:start w:val="1"/>
      <w:numFmt w:val="lowerLetter"/>
      <w:lvlText w:val="%8."/>
      <w:lvlJc w:val="left"/>
      <w:pPr>
        <w:tabs>
          <w:tab w:val="left" w:pos="2880"/>
        </w:tabs>
        <w:ind w:left="2880" w:hanging="360"/>
      </w:pPr>
    </w:lvl>
    <w:lvl w:ilvl="8" w:tentative="0">
      <w:start w:val="1"/>
      <w:numFmt w:val="lowerRoman"/>
      <w:lvlText w:val="%9."/>
      <w:lvlJc w:val="left"/>
      <w:pPr>
        <w:tabs>
          <w:tab w:val="left" w:pos="3240"/>
        </w:tabs>
        <w:ind w:left="324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num>
  <w:num w:numId="4">
    <w:abstractNumId w:val="3"/>
  </w:num>
  <w:num w:numId="5">
    <w:abstractNumId w:val="0"/>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hideGrammaticalErrors/>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60E6E"/>
    <w:rsid w:val="00000801"/>
    <w:rsid w:val="00001F2F"/>
    <w:rsid w:val="00003311"/>
    <w:rsid w:val="00005EAD"/>
    <w:rsid w:val="00006618"/>
    <w:rsid w:val="0000708D"/>
    <w:rsid w:val="00011014"/>
    <w:rsid w:val="000118EC"/>
    <w:rsid w:val="00016EC0"/>
    <w:rsid w:val="00017C4A"/>
    <w:rsid w:val="0002045B"/>
    <w:rsid w:val="000222E8"/>
    <w:rsid w:val="000239E7"/>
    <w:rsid w:val="00031F84"/>
    <w:rsid w:val="0003242C"/>
    <w:rsid w:val="000328C9"/>
    <w:rsid w:val="00033FF6"/>
    <w:rsid w:val="0003437D"/>
    <w:rsid w:val="00034E58"/>
    <w:rsid w:val="00036B1C"/>
    <w:rsid w:val="0004041A"/>
    <w:rsid w:val="00040806"/>
    <w:rsid w:val="00040E4C"/>
    <w:rsid w:val="00042073"/>
    <w:rsid w:val="00042B4A"/>
    <w:rsid w:val="00042CA6"/>
    <w:rsid w:val="0004343B"/>
    <w:rsid w:val="00045276"/>
    <w:rsid w:val="0005093C"/>
    <w:rsid w:val="00054F76"/>
    <w:rsid w:val="00055583"/>
    <w:rsid w:val="00055680"/>
    <w:rsid w:val="0005761F"/>
    <w:rsid w:val="00057F19"/>
    <w:rsid w:val="000605F9"/>
    <w:rsid w:val="00062841"/>
    <w:rsid w:val="00062B40"/>
    <w:rsid w:val="000645D2"/>
    <w:rsid w:val="00066269"/>
    <w:rsid w:val="0006660A"/>
    <w:rsid w:val="00070687"/>
    <w:rsid w:val="00071167"/>
    <w:rsid w:val="000727C2"/>
    <w:rsid w:val="00075AC1"/>
    <w:rsid w:val="0007612B"/>
    <w:rsid w:val="00076244"/>
    <w:rsid w:val="00076618"/>
    <w:rsid w:val="000818DB"/>
    <w:rsid w:val="00085437"/>
    <w:rsid w:val="000858A2"/>
    <w:rsid w:val="00085AE0"/>
    <w:rsid w:val="000902F3"/>
    <w:rsid w:val="0009134D"/>
    <w:rsid w:val="0009479B"/>
    <w:rsid w:val="0009547C"/>
    <w:rsid w:val="0009551F"/>
    <w:rsid w:val="000963DC"/>
    <w:rsid w:val="00096B14"/>
    <w:rsid w:val="00097146"/>
    <w:rsid w:val="000A1952"/>
    <w:rsid w:val="000A1F71"/>
    <w:rsid w:val="000A3011"/>
    <w:rsid w:val="000B11FE"/>
    <w:rsid w:val="000B1A4A"/>
    <w:rsid w:val="000B1AFB"/>
    <w:rsid w:val="000B60B6"/>
    <w:rsid w:val="000C001F"/>
    <w:rsid w:val="000C0898"/>
    <w:rsid w:val="000C0ABA"/>
    <w:rsid w:val="000C2959"/>
    <w:rsid w:val="000C2965"/>
    <w:rsid w:val="000C306C"/>
    <w:rsid w:val="000C3C69"/>
    <w:rsid w:val="000C3FAF"/>
    <w:rsid w:val="000C5CF1"/>
    <w:rsid w:val="000C6E37"/>
    <w:rsid w:val="000C7CC4"/>
    <w:rsid w:val="000D00D5"/>
    <w:rsid w:val="000D05D4"/>
    <w:rsid w:val="000D1A62"/>
    <w:rsid w:val="000D203F"/>
    <w:rsid w:val="000D2B07"/>
    <w:rsid w:val="000D3822"/>
    <w:rsid w:val="000D54B4"/>
    <w:rsid w:val="000D7B4D"/>
    <w:rsid w:val="000E1DCA"/>
    <w:rsid w:val="000E23BA"/>
    <w:rsid w:val="000E27EA"/>
    <w:rsid w:val="000E4E2D"/>
    <w:rsid w:val="000E6A5D"/>
    <w:rsid w:val="000E7EE0"/>
    <w:rsid w:val="000F0FCC"/>
    <w:rsid w:val="000F22D6"/>
    <w:rsid w:val="000F40FE"/>
    <w:rsid w:val="000F6A72"/>
    <w:rsid w:val="000F6D4B"/>
    <w:rsid w:val="000F7619"/>
    <w:rsid w:val="0010318B"/>
    <w:rsid w:val="0010329D"/>
    <w:rsid w:val="00106386"/>
    <w:rsid w:val="00106DB6"/>
    <w:rsid w:val="00107912"/>
    <w:rsid w:val="00107CAB"/>
    <w:rsid w:val="00111A47"/>
    <w:rsid w:val="00113E79"/>
    <w:rsid w:val="00117460"/>
    <w:rsid w:val="00117F6E"/>
    <w:rsid w:val="00121E51"/>
    <w:rsid w:val="00124574"/>
    <w:rsid w:val="00124699"/>
    <w:rsid w:val="001253B9"/>
    <w:rsid w:val="00125A99"/>
    <w:rsid w:val="001313D4"/>
    <w:rsid w:val="00131717"/>
    <w:rsid w:val="00136353"/>
    <w:rsid w:val="00140435"/>
    <w:rsid w:val="001417F9"/>
    <w:rsid w:val="0014574F"/>
    <w:rsid w:val="00145CF3"/>
    <w:rsid w:val="001470EE"/>
    <w:rsid w:val="001475C3"/>
    <w:rsid w:val="00150FC9"/>
    <w:rsid w:val="00154552"/>
    <w:rsid w:val="00156383"/>
    <w:rsid w:val="0015638C"/>
    <w:rsid w:val="001565A4"/>
    <w:rsid w:val="001565BD"/>
    <w:rsid w:val="001622A1"/>
    <w:rsid w:val="00163D9A"/>
    <w:rsid w:val="0016494C"/>
    <w:rsid w:val="00166606"/>
    <w:rsid w:val="00170801"/>
    <w:rsid w:val="00171850"/>
    <w:rsid w:val="00171DEC"/>
    <w:rsid w:val="00172B69"/>
    <w:rsid w:val="00173D57"/>
    <w:rsid w:val="00174DD2"/>
    <w:rsid w:val="00177FF3"/>
    <w:rsid w:val="0018092B"/>
    <w:rsid w:val="00181E4F"/>
    <w:rsid w:val="00182C14"/>
    <w:rsid w:val="001831C1"/>
    <w:rsid w:val="00183E69"/>
    <w:rsid w:val="001843BA"/>
    <w:rsid w:val="00184774"/>
    <w:rsid w:val="0018538C"/>
    <w:rsid w:val="00186C61"/>
    <w:rsid w:val="00190074"/>
    <w:rsid w:val="00190CE0"/>
    <w:rsid w:val="0019287D"/>
    <w:rsid w:val="001949E1"/>
    <w:rsid w:val="0019532E"/>
    <w:rsid w:val="001974A7"/>
    <w:rsid w:val="00197EC5"/>
    <w:rsid w:val="001A4624"/>
    <w:rsid w:val="001A5535"/>
    <w:rsid w:val="001A6761"/>
    <w:rsid w:val="001A7722"/>
    <w:rsid w:val="001B0E06"/>
    <w:rsid w:val="001B3491"/>
    <w:rsid w:val="001C08EF"/>
    <w:rsid w:val="001C265F"/>
    <w:rsid w:val="001C3788"/>
    <w:rsid w:val="001C3F7C"/>
    <w:rsid w:val="001C7669"/>
    <w:rsid w:val="001C77CC"/>
    <w:rsid w:val="001C7E68"/>
    <w:rsid w:val="001D0692"/>
    <w:rsid w:val="001D1A57"/>
    <w:rsid w:val="001D4AE4"/>
    <w:rsid w:val="001D5E12"/>
    <w:rsid w:val="001E455B"/>
    <w:rsid w:val="001E57D8"/>
    <w:rsid w:val="001F07BE"/>
    <w:rsid w:val="001F0E0F"/>
    <w:rsid w:val="001F638F"/>
    <w:rsid w:val="001F752B"/>
    <w:rsid w:val="001F7CB9"/>
    <w:rsid w:val="002015EC"/>
    <w:rsid w:val="00201DEF"/>
    <w:rsid w:val="00201F7B"/>
    <w:rsid w:val="00205F16"/>
    <w:rsid w:val="00207E25"/>
    <w:rsid w:val="0021016D"/>
    <w:rsid w:val="00212EFF"/>
    <w:rsid w:val="00213A71"/>
    <w:rsid w:val="00214BF8"/>
    <w:rsid w:val="00214F22"/>
    <w:rsid w:val="00216F56"/>
    <w:rsid w:val="0021706F"/>
    <w:rsid w:val="00220F5E"/>
    <w:rsid w:val="00221F85"/>
    <w:rsid w:val="00223275"/>
    <w:rsid w:val="0022517E"/>
    <w:rsid w:val="0022633F"/>
    <w:rsid w:val="00227401"/>
    <w:rsid w:val="0023048A"/>
    <w:rsid w:val="0023096A"/>
    <w:rsid w:val="00230C94"/>
    <w:rsid w:val="0023135E"/>
    <w:rsid w:val="00234C37"/>
    <w:rsid w:val="002411A1"/>
    <w:rsid w:val="00242899"/>
    <w:rsid w:val="00243051"/>
    <w:rsid w:val="00243069"/>
    <w:rsid w:val="00243E1D"/>
    <w:rsid w:val="002459A0"/>
    <w:rsid w:val="00246667"/>
    <w:rsid w:val="002479E2"/>
    <w:rsid w:val="00247FD7"/>
    <w:rsid w:val="002507AA"/>
    <w:rsid w:val="002510AC"/>
    <w:rsid w:val="002519EF"/>
    <w:rsid w:val="0025299D"/>
    <w:rsid w:val="002539BE"/>
    <w:rsid w:val="00253C49"/>
    <w:rsid w:val="00255224"/>
    <w:rsid w:val="002569EA"/>
    <w:rsid w:val="00257974"/>
    <w:rsid w:val="00262AFB"/>
    <w:rsid w:val="00267838"/>
    <w:rsid w:val="0027141E"/>
    <w:rsid w:val="0027167A"/>
    <w:rsid w:val="00272EFE"/>
    <w:rsid w:val="00277281"/>
    <w:rsid w:val="002774D2"/>
    <w:rsid w:val="00277A26"/>
    <w:rsid w:val="002802BA"/>
    <w:rsid w:val="00281E10"/>
    <w:rsid w:val="00282093"/>
    <w:rsid w:val="00283684"/>
    <w:rsid w:val="00283894"/>
    <w:rsid w:val="00284D12"/>
    <w:rsid w:val="00291081"/>
    <w:rsid w:val="002919DA"/>
    <w:rsid w:val="002972AF"/>
    <w:rsid w:val="002972E9"/>
    <w:rsid w:val="00297C39"/>
    <w:rsid w:val="002A388E"/>
    <w:rsid w:val="002A4E2F"/>
    <w:rsid w:val="002A57FB"/>
    <w:rsid w:val="002B4785"/>
    <w:rsid w:val="002B595E"/>
    <w:rsid w:val="002B5BEC"/>
    <w:rsid w:val="002B5EB4"/>
    <w:rsid w:val="002B6AA5"/>
    <w:rsid w:val="002B6DCE"/>
    <w:rsid w:val="002B719A"/>
    <w:rsid w:val="002C039A"/>
    <w:rsid w:val="002C1C45"/>
    <w:rsid w:val="002C2512"/>
    <w:rsid w:val="002C2EE7"/>
    <w:rsid w:val="002C41A5"/>
    <w:rsid w:val="002D5311"/>
    <w:rsid w:val="002D5BD7"/>
    <w:rsid w:val="002D6877"/>
    <w:rsid w:val="002E15F1"/>
    <w:rsid w:val="002E2909"/>
    <w:rsid w:val="002E767D"/>
    <w:rsid w:val="002F1678"/>
    <w:rsid w:val="002F2BF8"/>
    <w:rsid w:val="002F2E7F"/>
    <w:rsid w:val="002F36D7"/>
    <w:rsid w:val="002F3DCB"/>
    <w:rsid w:val="002F4AA7"/>
    <w:rsid w:val="0030108E"/>
    <w:rsid w:val="00301A9A"/>
    <w:rsid w:val="00303AC3"/>
    <w:rsid w:val="003109CE"/>
    <w:rsid w:val="00310B7F"/>
    <w:rsid w:val="00311CC8"/>
    <w:rsid w:val="003133E0"/>
    <w:rsid w:val="003163B3"/>
    <w:rsid w:val="00321500"/>
    <w:rsid w:val="003215BE"/>
    <w:rsid w:val="00322642"/>
    <w:rsid w:val="0032455E"/>
    <w:rsid w:val="00324A93"/>
    <w:rsid w:val="00325B99"/>
    <w:rsid w:val="00326CCA"/>
    <w:rsid w:val="003273A6"/>
    <w:rsid w:val="00327A4D"/>
    <w:rsid w:val="00330B85"/>
    <w:rsid w:val="00334956"/>
    <w:rsid w:val="0033585E"/>
    <w:rsid w:val="00335C78"/>
    <w:rsid w:val="00337F3A"/>
    <w:rsid w:val="00340ED4"/>
    <w:rsid w:val="00343D55"/>
    <w:rsid w:val="00345251"/>
    <w:rsid w:val="003467D4"/>
    <w:rsid w:val="00350AFE"/>
    <w:rsid w:val="00350BC8"/>
    <w:rsid w:val="00351399"/>
    <w:rsid w:val="003514C9"/>
    <w:rsid w:val="00357179"/>
    <w:rsid w:val="0036294A"/>
    <w:rsid w:val="00363C33"/>
    <w:rsid w:val="00364F60"/>
    <w:rsid w:val="00366ECE"/>
    <w:rsid w:val="00367D4E"/>
    <w:rsid w:val="003713F4"/>
    <w:rsid w:val="00371D22"/>
    <w:rsid w:val="00372C92"/>
    <w:rsid w:val="00374150"/>
    <w:rsid w:val="00374A74"/>
    <w:rsid w:val="00374D21"/>
    <w:rsid w:val="003755EA"/>
    <w:rsid w:val="00380000"/>
    <w:rsid w:val="003809F1"/>
    <w:rsid w:val="0038550A"/>
    <w:rsid w:val="00386C95"/>
    <w:rsid w:val="0038718D"/>
    <w:rsid w:val="00390CE0"/>
    <w:rsid w:val="0039304C"/>
    <w:rsid w:val="00395B21"/>
    <w:rsid w:val="00396CA4"/>
    <w:rsid w:val="00397474"/>
    <w:rsid w:val="00397E53"/>
    <w:rsid w:val="003A0B4C"/>
    <w:rsid w:val="003A14BA"/>
    <w:rsid w:val="003A2FC4"/>
    <w:rsid w:val="003A38D2"/>
    <w:rsid w:val="003A7474"/>
    <w:rsid w:val="003A7A86"/>
    <w:rsid w:val="003B0107"/>
    <w:rsid w:val="003B0304"/>
    <w:rsid w:val="003B1003"/>
    <w:rsid w:val="003B61B8"/>
    <w:rsid w:val="003B7769"/>
    <w:rsid w:val="003B7FB0"/>
    <w:rsid w:val="003C1750"/>
    <w:rsid w:val="003C2420"/>
    <w:rsid w:val="003C2547"/>
    <w:rsid w:val="003C36E7"/>
    <w:rsid w:val="003C550C"/>
    <w:rsid w:val="003C5FDE"/>
    <w:rsid w:val="003C7B7D"/>
    <w:rsid w:val="003D0D7B"/>
    <w:rsid w:val="003D184F"/>
    <w:rsid w:val="003D3483"/>
    <w:rsid w:val="003D5E3B"/>
    <w:rsid w:val="003D6775"/>
    <w:rsid w:val="003D6FCB"/>
    <w:rsid w:val="003E3806"/>
    <w:rsid w:val="003E5FFF"/>
    <w:rsid w:val="003E65BF"/>
    <w:rsid w:val="003E6F69"/>
    <w:rsid w:val="003F0972"/>
    <w:rsid w:val="003F1EBF"/>
    <w:rsid w:val="003F523F"/>
    <w:rsid w:val="003F611A"/>
    <w:rsid w:val="00400C09"/>
    <w:rsid w:val="00401035"/>
    <w:rsid w:val="004014DE"/>
    <w:rsid w:val="00401C61"/>
    <w:rsid w:val="00402316"/>
    <w:rsid w:val="00404591"/>
    <w:rsid w:val="00406CD7"/>
    <w:rsid w:val="00406DFF"/>
    <w:rsid w:val="00410F83"/>
    <w:rsid w:val="004132BF"/>
    <w:rsid w:val="00413DD9"/>
    <w:rsid w:val="004160A6"/>
    <w:rsid w:val="004173E7"/>
    <w:rsid w:val="00420EB1"/>
    <w:rsid w:val="00421D49"/>
    <w:rsid w:val="00421E88"/>
    <w:rsid w:val="00422C03"/>
    <w:rsid w:val="004231E1"/>
    <w:rsid w:val="00425291"/>
    <w:rsid w:val="004266DE"/>
    <w:rsid w:val="00427D48"/>
    <w:rsid w:val="00427DA3"/>
    <w:rsid w:val="004309B5"/>
    <w:rsid w:val="004322CC"/>
    <w:rsid w:val="00432D25"/>
    <w:rsid w:val="00433E09"/>
    <w:rsid w:val="00434BE9"/>
    <w:rsid w:val="004357A2"/>
    <w:rsid w:val="004364C2"/>
    <w:rsid w:val="00437A1A"/>
    <w:rsid w:val="00443472"/>
    <w:rsid w:val="00444E07"/>
    <w:rsid w:val="004455A6"/>
    <w:rsid w:val="00447117"/>
    <w:rsid w:val="00450A90"/>
    <w:rsid w:val="00451AC2"/>
    <w:rsid w:val="00452833"/>
    <w:rsid w:val="00452A13"/>
    <w:rsid w:val="00453632"/>
    <w:rsid w:val="0045697E"/>
    <w:rsid w:val="00456A07"/>
    <w:rsid w:val="00460E6E"/>
    <w:rsid w:val="004629AD"/>
    <w:rsid w:val="00462F05"/>
    <w:rsid w:val="00464F50"/>
    <w:rsid w:val="00465654"/>
    <w:rsid w:val="00467F3A"/>
    <w:rsid w:val="00470C73"/>
    <w:rsid w:val="00470E7F"/>
    <w:rsid w:val="00472618"/>
    <w:rsid w:val="00480D67"/>
    <w:rsid w:val="00483121"/>
    <w:rsid w:val="00484015"/>
    <w:rsid w:val="0048404F"/>
    <w:rsid w:val="00490B44"/>
    <w:rsid w:val="004930C2"/>
    <w:rsid w:val="004A1CD5"/>
    <w:rsid w:val="004A29E1"/>
    <w:rsid w:val="004A2B03"/>
    <w:rsid w:val="004A2C56"/>
    <w:rsid w:val="004A5B07"/>
    <w:rsid w:val="004A7A46"/>
    <w:rsid w:val="004B1709"/>
    <w:rsid w:val="004B1777"/>
    <w:rsid w:val="004B1EF0"/>
    <w:rsid w:val="004B6596"/>
    <w:rsid w:val="004B6D31"/>
    <w:rsid w:val="004B741A"/>
    <w:rsid w:val="004C1183"/>
    <w:rsid w:val="004C1F9B"/>
    <w:rsid w:val="004C5B2B"/>
    <w:rsid w:val="004D07C3"/>
    <w:rsid w:val="004D1182"/>
    <w:rsid w:val="004D131D"/>
    <w:rsid w:val="004D2A10"/>
    <w:rsid w:val="004D6C4A"/>
    <w:rsid w:val="004D6D94"/>
    <w:rsid w:val="004D6EEA"/>
    <w:rsid w:val="004E0BD2"/>
    <w:rsid w:val="004E4E5B"/>
    <w:rsid w:val="004F0979"/>
    <w:rsid w:val="004F0A1D"/>
    <w:rsid w:val="004F0CB7"/>
    <w:rsid w:val="004F236A"/>
    <w:rsid w:val="004F25D3"/>
    <w:rsid w:val="004F3311"/>
    <w:rsid w:val="004F5DF1"/>
    <w:rsid w:val="004F6483"/>
    <w:rsid w:val="004F65FB"/>
    <w:rsid w:val="004F678A"/>
    <w:rsid w:val="004F7912"/>
    <w:rsid w:val="005011AC"/>
    <w:rsid w:val="0050145A"/>
    <w:rsid w:val="00502E36"/>
    <w:rsid w:val="00503EE5"/>
    <w:rsid w:val="00503EFA"/>
    <w:rsid w:val="00504782"/>
    <w:rsid w:val="00504B78"/>
    <w:rsid w:val="00504B8E"/>
    <w:rsid w:val="00506214"/>
    <w:rsid w:val="00510FF4"/>
    <w:rsid w:val="00511954"/>
    <w:rsid w:val="00511A92"/>
    <w:rsid w:val="00511C9C"/>
    <w:rsid w:val="0051479C"/>
    <w:rsid w:val="00514FB0"/>
    <w:rsid w:val="00521400"/>
    <w:rsid w:val="00524140"/>
    <w:rsid w:val="005254E9"/>
    <w:rsid w:val="00526DB5"/>
    <w:rsid w:val="00526DD2"/>
    <w:rsid w:val="005278BB"/>
    <w:rsid w:val="00527D5E"/>
    <w:rsid w:val="00531725"/>
    <w:rsid w:val="00531890"/>
    <w:rsid w:val="00534467"/>
    <w:rsid w:val="005349EF"/>
    <w:rsid w:val="00540E61"/>
    <w:rsid w:val="00540EB6"/>
    <w:rsid w:val="0054333F"/>
    <w:rsid w:val="0054403F"/>
    <w:rsid w:val="005446EF"/>
    <w:rsid w:val="00544A9A"/>
    <w:rsid w:val="00545C5B"/>
    <w:rsid w:val="00545D94"/>
    <w:rsid w:val="00546202"/>
    <w:rsid w:val="005474E5"/>
    <w:rsid w:val="0055268D"/>
    <w:rsid w:val="00552C8D"/>
    <w:rsid w:val="00553274"/>
    <w:rsid w:val="005559CB"/>
    <w:rsid w:val="00557F16"/>
    <w:rsid w:val="00561BF6"/>
    <w:rsid w:val="00564055"/>
    <w:rsid w:val="00564A1B"/>
    <w:rsid w:val="005658CF"/>
    <w:rsid w:val="00566918"/>
    <w:rsid w:val="00566DCA"/>
    <w:rsid w:val="005678A0"/>
    <w:rsid w:val="00567955"/>
    <w:rsid w:val="005709F9"/>
    <w:rsid w:val="00570A6D"/>
    <w:rsid w:val="00571A81"/>
    <w:rsid w:val="00571D17"/>
    <w:rsid w:val="005722ED"/>
    <w:rsid w:val="00573174"/>
    <w:rsid w:val="0057351A"/>
    <w:rsid w:val="00575C92"/>
    <w:rsid w:val="0057676B"/>
    <w:rsid w:val="00576EB8"/>
    <w:rsid w:val="00580D9D"/>
    <w:rsid w:val="005824A7"/>
    <w:rsid w:val="005844ED"/>
    <w:rsid w:val="005845A7"/>
    <w:rsid w:val="00584B77"/>
    <w:rsid w:val="005870D6"/>
    <w:rsid w:val="00591A44"/>
    <w:rsid w:val="00592CF6"/>
    <w:rsid w:val="00596C16"/>
    <w:rsid w:val="005A149D"/>
    <w:rsid w:val="005A2811"/>
    <w:rsid w:val="005A5171"/>
    <w:rsid w:val="005A7B5B"/>
    <w:rsid w:val="005B05CA"/>
    <w:rsid w:val="005B101B"/>
    <w:rsid w:val="005B27ED"/>
    <w:rsid w:val="005B2841"/>
    <w:rsid w:val="005B2B4B"/>
    <w:rsid w:val="005B3B55"/>
    <w:rsid w:val="005B4832"/>
    <w:rsid w:val="005B5633"/>
    <w:rsid w:val="005B5780"/>
    <w:rsid w:val="005B5E63"/>
    <w:rsid w:val="005B6ED4"/>
    <w:rsid w:val="005C0B23"/>
    <w:rsid w:val="005C13DC"/>
    <w:rsid w:val="005C52EE"/>
    <w:rsid w:val="005C674B"/>
    <w:rsid w:val="005C6BBD"/>
    <w:rsid w:val="005D1AC3"/>
    <w:rsid w:val="005D2BE4"/>
    <w:rsid w:val="005D67C4"/>
    <w:rsid w:val="005D7DB0"/>
    <w:rsid w:val="005E27E7"/>
    <w:rsid w:val="005E3332"/>
    <w:rsid w:val="005E3BDA"/>
    <w:rsid w:val="005E4652"/>
    <w:rsid w:val="005E4914"/>
    <w:rsid w:val="005E75D4"/>
    <w:rsid w:val="005F0546"/>
    <w:rsid w:val="005F27D2"/>
    <w:rsid w:val="005F7FA7"/>
    <w:rsid w:val="00600816"/>
    <w:rsid w:val="006008B2"/>
    <w:rsid w:val="0060541D"/>
    <w:rsid w:val="00606B2C"/>
    <w:rsid w:val="00610B9E"/>
    <w:rsid w:val="006141C0"/>
    <w:rsid w:val="006168EC"/>
    <w:rsid w:val="00616F85"/>
    <w:rsid w:val="00620908"/>
    <w:rsid w:val="006209B6"/>
    <w:rsid w:val="00621311"/>
    <w:rsid w:val="0062204C"/>
    <w:rsid w:val="00622B2F"/>
    <w:rsid w:val="00623C54"/>
    <w:rsid w:val="00625FDE"/>
    <w:rsid w:val="006263FC"/>
    <w:rsid w:val="0063099B"/>
    <w:rsid w:val="0063126E"/>
    <w:rsid w:val="00635848"/>
    <w:rsid w:val="00635E55"/>
    <w:rsid w:val="00636607"/>
    <w:rsid w:val="00641927"/>
    <w:rsid w:val="00642301"/>
    <w:rsid w:val="0064281C"/>
    <w:rsid w:val="00642CEE"/>
    <w:rsid w:val="00644479"/>
    <w:rsid w:val="00647AF2"/>
    <w:rsid w:val="00647E10"/>
    <w:rsid w:val="006534CF"/>
    <w:rsid w:val="006570F4"/>
    <w:rsid w:val="00657A4C"/>
    <w:rsid w:val="0066168E"/>
    <w:rsid w:val="006618AB"/>
    <w:rsid w:val="0066227C"/>
    <w:rsid w:val="00665994"/>
    <w:rsid w:val="006666C8"/>
    <w:rsid w:val="00667243"/>
    <w:rsid w:val="006713FB"/>
    <w:rsid w:val="00671D6B"/>
    <w:rsid w:val="0067205A"/>
    <w:rsid w:val="006746A5"/>
    <w:rsid w:val="0067489F"/>
    <w:rsid w:val="00674BF9"/>
    <w:rsid w:val="00680134"/>
    <w:rsid w:val="0068042F"/>
    <w:rsid w:val="00686176"/>
    <w:rsid w:val="00692036"/>
    <w:rsid w:val="00692464"/>
    <w:rsid w:val="006969E0"/>
    <w:rsid w:val="00697799"/>
    <w:rsid w:val="00697AE2"/>
    <w:rsid w:val="006A32D3"/>
    <w:rsid w:val="006A4560"/>
    <w:rsid w:val="006A5B67"/>
    <w:rsid w:val="006A6747"/>
    <w:rsid w:val="006B20E7"/>
    <w:rsid w:val="006B280C"/>
    <w:rsid w:val="006B4298"/>
    <w:rsid w:val="006B4710"/>
    <w:rsid w:val="006C317B"/>
    <w:rsid w:val="006C3A72"/>
    <w:rsid w:val="006C5334"/>
    <w:rsid w:val="006C7528"/>
    <w:rsid w:val="006C7EAA"/>
    <w:rsid w:val="006D0319"/>
    <w:rsid w:val="006D0FF2"/>
    <w:rsid w:val="006D2D1B"/>
    <w:rsid w:val="006D3AF8"/>
    <w:rsid w:val="006D5CB1"/>
    <w:rsid w:val="006D62F4"/>
    <w:rsid w:val="006D75A2"/>
    <w:rsid w:val="006D799A"/>
    <w:rsid w:val="006E066C"/>
    <w:rsid w:val="006E1EF7"/>
    <w:rsid w:val="006E4327"/>
    <w:rsid w:val="006E74FC"/>
    <w:rsid w:val="006E79D5"/>
    <w:rsid w:val="006F064B"/>
    <w:rsid w:val="006F0939"/>
    <w:rsid w:val="006F26D6"/>
    <w:rsid w:val="006F66B5"/>
    <w:rsid w:val="00700143"/>
    <w:rsid w:val="00703517"/>
    <w:rsid w:val="00703D26"/>
    <w:rsid w:val="007047ED"/>
    <w:rsid w:val="00705587"/>
    <w:rsid w:val="007079A6"/>
    <w:rsid w:val="00707D35"/>
    <w:rsid w:val="00710DCB"/>
    <w:rsid w:val="00711FE4"/>
    <w:rsid w:val="00715623"/>
    <w:rsid w:val="007164FE"/>
    <w:rsid w:val="007167E6"/>
    <w:rsid w:val="00721CA0"/>
    <w:rsid w:val="0072360B"/>
    <w:rsid w:val="0072560D"/>
    <w:rsid w:val="0072738A"/>
    <w:rsid w:val="00731673"/>
    <w:rsid w:val="00731D80"/>
    <w:rsid w:val="00732720"/>
    <w:rsid w:val="007338EA"/>
    <w:rsid w:val="00733E23"/>
    <w:rsid w:val="00735AFE"/>
    <w:rsid w:val="00740A54"/>
    <w:rsid w:val="00741462"/>
    <w:rsid w:val="00743C15"/>
    <w:rsid w:val="00744416"/>
    <w:rsid w:val="0074482D"/>
    <w:rsid w:val="00746FA6"/>
    <w:rsid w:val="00747456"/>
    <w:rsid w:val="007530F4"/>
    <w:rsid w:val="0075504B"/>
    <w:rsid w:val="007560BA"/>
    <w:rsid w:val="007572B6"/>
    <w:rsid w:val="007604E9"/>
    <w:rsid w:val="007617F0"/>
    <w:rsid w:val="00763561"/>
    <w:rsid w:val="00763DD2"/>
    <w:rsid w:val="00765885"/>
    <w:rsid w:val="0076645F"/>
    <w:rsid w:val="00774291"/>
    <w:rsid w:val="00781140"/>
    <w:rsid w:val="00784248"/>
    <w:rsid w:val="007848E7"/>
    <w:rsid w:val="00784937"/>
    <w:rsid w:val="0078530F"/>
    <w:rsid w:val="007905E2"/>
    <w:rsid w:val="00790870"/>
    <w:rsid w:val="00793125"/>
    <w:rsid w:val="007956E4"/>
    <w:rsid w:val="007A0FB5"/>
    <w:rsid w:val="007A2670"/>
    <w:rsid w:val="007A2E55"/>
    <w:rsid w:val="007A4C5C"/>
    <w:rsid w:val="007B0623"/>
    <w:rsid w:val="007B0FA6"/>
    <w:rsid w:val="007B2224"/>
    <w:rsid w:val="007B2BCA"/>
    <w:rsid w:val="007B3D15"/>
    <w:rsid w:val="007B58FE"/>
    <w:rsid w:val="007C29C6"/>
    <w:rsid w:val="007C3F5C"/>
    <w:rsid w:val="007C608C"/>
    <w:rsid w:val="007D02D8"/>
    <w:rsid w:val="007D1D74"/>
    <w:rsid w:val="007D314A"/>
    <w:rsid w:val="007D32AF"/>
    <w:rsid w:val="007D4A22"/>
    <w:rsid w:val="007D5741"/>
    <w:rsid w:val="007D6EF7"/>
    <w:rsid w:val="007D7131"/>
    <w:rsid w:val="007E1885"/>
    <w:rsid w:val="007E1D37"/>
    <w:rsid w:val="007E368E"/>
    <w:rsid w:val="007E3A9E"/>
    <w:rsid w:val="007E500D"/>
    <w:rsid w:val="007F051B"/>
    <w:rsid w:val="007F0D2C"/>
    <w:rsid w:val="007F3FA1"/>
    <w:rsid w:val="007F5361"/>
    <w:rsid w:val="007F6337"/>
    <w:rsid w:val="007F7986"/>
    <w:rsid w:val="00800AFB"/>
    <w:rsid w:val="00800D5C"/>
    <w:rsid w:val="008014CA"/>
    <w:rsid w:val="00804526"/>
    <w:rsid w:val="00804FE3"/>
    <w:rsid w:val="0080572D"/>
    <w:rsid w:val="00805FD4"/>
    <w:rsid w:val="00810F60"/>
    <w:rsid w:val="00812EAB"/>
    <w:rsid w:val="008232DD"/>
    <w:rsid w:val="00823BA4"/>
    <w:rsid w:val="0082413C"/>
    <w:rsid w:val="008241CC"/>
    <w:rsid w:val="0082469A"/>
    <w:rsid w:val="00824E14"/>
    <w:rsid w:val="00827622"/>
    <w:rsid w:val="00832A74"/>
    <w:rsid w:val="008333C1"/>
    <w:rsid w:val="00842018"/>
    <w:rsid w:val="00843EEF"/>
    <w:rsid w:val="00846DE4"/>
    <w:rsid w:val="00846E2F"/>
    <w:rsid w:val="00850859"/>
    <w:rsid w:val="008512F1"/>
    <w:rsid w:val="0085135B"/>
    <w:rsid w:val="00852AD0"/>
    <w:rsid w:val="0085689F"/>
    <w:rsid w:val="00857F0A"/>
    <w:rsid w:val="00860709"/>
    <w:rsid w:val="00860F4F"/>
    <w:rsid w:val="008615CD"/>
    <w:rsid w:val="00864474"/>
    <w:rsid w:val="0086471F"/>
    <w:rsid w:val="00866C95"/>
    <w:rsid w:val="008677A2"/>
    <w:rsid w:val="008714FD"/>
    <w:rsid w:val="00873B1E"/>
    <w:rsid w:val="00873E07"/>
    <w:rsid w:val="008750C1"/>
    <w:rsid w:val="00875872"/>
    <w:rsid w:val="008761B2"/>
    <w:rsid w:val="008773FF"/>
    <w:rsid w:val="008809A8"/>
    <w:rsid w:val="0088118F"/>
    <w:rsid w:val="00884DA7"/>
    <w:rsid w:val="008867F4"/>
    <w:rsid w:val="00887457"/>
    <w:rsid w:val="008875A1"/>
    <w:rsid w:val="00891419"/>
    <w:rsid w:val="008945FC"/>
    <w:rsid w:val="008953E5"/>
    <w:rsid w:val="008A1348"/>
    <w:rsid w:val="008A1803"/>
    <w:rsid w:val="008A5514"/>
    <w:rsid w:val="008B0044"/>
    <w:rsid w:val="008B0D0C"/>
    <w:rsid w:val="008B19C0"/>
    <w:rsid w:val="008B3702"/>
    <w:rsid w:val="008B3E2B"/>
    <w:rsid w:val="008B4859"/>
    <w:rsid w:val="008B747C"/>
    <w:rsid w:val="008B7B1C"/>
    <w:rsid w:val="008C0799"/>
    <w:rsid w:val="008C259B"/>
    <w:rsid w:val="008C3056"/>
    <w:rsid w:val="008D0C8A"/>
    <w:rsid w:val="008D1E0B"/>
    <w:rsid w:val="008D242C"/>
    <w:rsid w:val="008D5051"/>
    <w:rsid w:val="008E121B"/>
    <w:rsid w:val="008E13B5"/>
    <w:rsid w:val="008E39CC"/>
    <w:rsid w:val="008E53F5"/>
    <w:rsid w:val="008E6FAD"/>
    <w:rsid w:val="008E7028"/>
    <w:rsid w:val="008F0EAB"/>
    <w:rsid w:val="008F14C5"/>
    <w:rsid w:val="008F1711"/>
    <w:rsid w:val="008F1C1B"/>
    <w:rsid w:val="008F1C52"/>
    <w:rsid w:val="008F35BC"/>
    <w:rsid w:val="008F3923"/>
    <w:rsid w:val="008F4A41"/>
    <w:rsid w:val="008F4CB3"/>
    <w:rsid w:val="008F518B"/>
    <w:rsid w:val="008F536A"/>
    <w:rsid w:val="008F690A"/>
    <w:rsid w:val="008F77D4"/>
    <w:rsid w:val="00900AFF"/>
    <w:rsid w:val="00903824"/>
    <w:rsid w:val="009039E5"/>
    <w:rsid w:val="0090486A"/>
    <w:rsid w:val="0090499D"/>
    <w:rsid w:val="00905CD9"/>
    <w:rsid w:val="00905FD5"/>
    <w:rsid w:val="0090796D"/>
    <w:rsid w:val="00907AD1"/>
    <w:rsid w:val="00910332"/>
    <w:rsid w:val="00910435"/>
    <w:rsid w:val="009109FA"/>
    <w:rsid w:val="00911479"/>
    <w:rsid w:val="00911565"/>
    <w:rsid w:val="00911F22"/>
    <w:rsid w:val="0091330B"/>
    <w:rsid w:val="00914BDB"/>
    <w:rsid w:val="009208B6"/>
    <w:rsid w:val="009210C3"/>
    <w:rsid w:val="00921826"/>
    <w:rsid w:val="0092237A"/>
    <w:rsid w:val="00922568"/>
    <w:rsid w:val="0092488C"/>
    <w:rsid w:val="009267F5"/>
    <w:rsid w:val="00926F03"/>
    <w:rsid w:val="00927CEE"/>
    <w:rsid w:val="00932AA1"/>
    <w:rsid w:val="00935FDB"/>
    <w:rsid w:val="00937EFE"/>
    <w:rsid w:val="00940E53"/>
    <w:rsid w:val="009416A0"/>
    <w:rsid w:val="0094513D"/>
    <w:rsid w:val="00946257"/>
    <w:rsid w:val="009477DB"/>
    <w:rsid w:val="0095232A"/>
    <w:rsid w:val="00952E40"/>
    <w:rsid w:val="00953BBA"/>
    <w:rsid w:val="00955F48"/>
    <w:rsid w:val="00960365"/>
    <w:rsid w:val="009607D6"/>
    <w:rsid w:val="00961393"/>
    <w:rsid w:val="00963787"/>
    <w:rsid w:val="009640CE"/>
    <w:rsid w:val="0096619E"/>
    <w:rsid w:val="00967F21"/>
    <w:rsid w:val="00974108"/>
    <w:rsid w:val="00975105"/>
    <w:rsid w:val="009817C4"/>
    <w:rsid w:val="00984BBB"/>
    <w:rsid w:val="00986C3F"/>
    <w:rsid w:val="00990FDA"/>
    <w:rsid w:val="00991645"/>
    <w:rsid w:val="00991DAA"/>
    <w:rsid w:val="00991E40"/>
    <w:rsid w:val="00997B85"/>
    <w:rsid w:val="009A315C"/>
    <w:rsid w:val="009A3FFC"/>
    <w:rsid w:val="009B1969"/>
    <w:rsid w:val="009C0D74"/>
    <w:rsid w:val="009C153D"/>
    <w:rsid w:val="009C16B4"/>
    <w:rsid w:val="009C24E0"/>
    <w:rsid w:val="009C7DFD"/>
    <w:rsid w:val="009D0FA3"/>
    <w:rsid w:val="009D2460"/>
    <w:rsid w:val="009E482C"/>
    <w:rsid w:val="009E7E4B"/>
    <w:rsid w:val="009F35D1"/>
    <w:rsid w:val="009F3C9C"/>
    <w:rsid w:val="009F434F"/>
    <w:rsid w:val="009F528C"/>
    <w:rsid w:val="009F5815"/>
    <w:rsid w:val="00A00D97"/>
    <w:rsid w:val="00A0508F"/>
    <w:rsid w:val="00A05581"/>
    <w:rsid w:val="00A12ADE"/>
    <w:rsid w:val="00A15A7A"/>
    <w:rsid w:val="00A15F41"/>
    <w:rsid w:val="00A16AA1"/>
    <w:rsid w:val="00A16F34"/>
    <w:rsid w:val="00A17B7B"/>
    <w:rsid w:val="00A236D7"/>
    <w:rsid w:val="00A243F7"/>
    <w:rsid w:val="00A244E0"/>
    <w:rsid w:val="00A2645A"/>
    <w:rsid w:val="00A272B1"/>
    <w:rsid w:val="00A329EC"/>
    <w:rsid w:val="00A40326"/>
    <w:rsid w:val="00A4087A"/>
    <w:rsid w:val="00A40C29"/>
    <w:rsid w:val="00A4321D"/>
    <w:rsid w:val="00A45522"/>
    <w:rsid w:val="00A47A4D"/>
    <w:rsid w:val="00A50520"/>
    <w:rsid w:val="00A506D9"/>
    <w:rsid w:val="00A510C4"/>
    <w:rsid w:val="00A52DD8"/>
    <w:rsid w:val="00A5333C"/>
    <w:rsid w:val="00A55165"/>
    <w:rsid w:val="00A56C85"/>
    <w:rsid w:val="00A56E4A"/>
    <w:rsid w:val="00A6193A"/>
    <w:rsid w:val="00A6228E"/>
    <w:rsid w:val="00A70AE0"/>
    <w:rsid w:val="00A716EF"/>
    <w:rsid w:val="00A74286"/>
    <w:rsid w:val="00A767D3"/>
    <w:rsid w:val="00A77310"/>
    <w:rsid w:val="00A81969"/>
    <w:rsid w:val="00A83FD7"/>
    <w:rsid w:val="00A86507"/>
    <w:rsid w:val="00A87FF1"/>
    <w:rsid w:val="00A92374"/>
    <w:rsid w:val="00A92650"/>
    <w:rsid w:val="00A94AFD"/>
    <w:rsid w:val="00A955EB"/>
    <w:rsid w:val="00A955F6"/>
    <w:rsid w:val="00A95F83"/>
    <w:rsid w:val="00A96F67"/>
    <w:rsid w:val="00A9714E"/>
    <w:rsid w:val="00A97311"/>
    <w:rsid w:val="00A97517"/>
    <w:rsid w:val="00AA383B"/>
    <w:rsid w:val="00AA4052"/>
    <w:rsid w:val="00AA4581"/>
    <w:rsid w:val="00AA66C4"/>
    <w:rsid w:val="00AB2170"/>
    <w:rsid w:val="00AB487E"/>
    <w:rsid w:val="00AB4A88"/>
    <w:rsid w:val="00AB729C"/>
    <w:rsid w:val="00AB7488"/>
    <w:rsid w:val="00AB782F"/>
    <w:rsid w:val="00AC22E7"/>
    <w:rsid w:val="00AC230A"/>
    <w:rsid w:val="00AC3110"/>
    <w:rsid w:val="00AC39E2"/>
    <w:rsid w:val="00AC4C47"/>
    <w:rsid w:val="00AC4DB8"/>
    <w:rsid w:val="00AD15B5"/>
    <w:rsid w:val="00AD196F"/>
    <w:rsid w:val="00AD2FC2"/>
    <w:rsid w:val="00AD35B0"/>
    <w:rsid w:val="00AD3C3C"/>
    <w:rsid w:val="00AD500B"/>
    <w:rsid w:val="00AD6E9D"/>
    <w:rsid w:val="00AE1C62"/>
    <w:rsid w:val="00AE23CD"/>
    <w:rsid w:val="00AE29E7"/>
    <w:rsid w:val="00AE546C"/>
    <w:rsid w:val="00AE6C75"/>
    <w:rsid w:val="00AE7A37"/>
    <w:rsid w:val="00AF16FE"/>
    <w:rsid w:val="00AF1843"/>
    <w:rsid w:val="00AF23B4"/>
    <w:rsid w:val="00AF4CD6"/>
    <w:rsid w:val="00AF4E3C"/>
    <w:rsid w:val="00AF66A2"/>
    <w:rsid w:val="00AF7501"/>
    <w:rsid w:val="00AF7BDB"/>
    <w:rsid w:val="00B001C9"/>
    <w:rsid w:val="00B008D3"/>
    <w:rsid w:val="00B01DA4"/>
    <w:rsid w:val="00B037E2"/>
    <w:rsid w:val="00B063A3"/>
    <w:rsid w:val="00B10001"/>
    <w:rsid w:val="00B100BA"/>
    <w:rsid w:val="00B10941"/>
    <w:rsid w:val="00B136A1"/>
    <w:rsid w:val="00B13A1A"/>
    <w:rsid w:val="00B14135"/>
    <w:rsid w:val="00B22119"/>
    <w:rsid w:val="00B2360A"/>
    <w:rsid w:val="00B2633B"/>
    <w:rsid w:val="00B3095F"/>
    <w:rsid w:val="00B309AB"/>
    <w:rsid w:val="00B321BC"/>
    <w:rsid w:val="00B3288A"/>
    <w:rsid w:val="00B34745"/>
    <w:rsid w:val="00B34CDD"/>
    <w:rsid w:val="00B3664D"/>
    <w:rsid w:val="00B37CD9"/>
    <w:rsid w:val="00B41910"/>
    <w:rsid w:val="00B424CF"/>
    <w:rsid w:val="00B453D2"/>
    <w:rsid w:val="00B51D24"/>
    <w:rsid w:val="00B530C1"/>
    <w:rsid w:val="00B56E87"/>
    <w:rsid w:val="00B576FC"/>
    <w:rsid w:val="00B57D0B"/>
    <w:rsid w:val="00B603F7"/>
    <w:rsid w:val="00B60F50"/>
    <w:rsid w:val="00B616EF"/>
    <w:rsid w:val="00B625B4"/>
    <w:rsid w:val="00B6349F"/>
    <w:rsid w:val="00B63630"/>
    <w:rsid w:val="00B63BA9"/>
    <w:rsid w:val="00B64A67"/>
    <w:rsid w:val="00B654AA"/>
    <w:rsid w:val="00B66A1B"/>
    <w:rsid w:val="00B72B8D"/>
    <w:rsid w:val="00B72F37"/>
    <w:rsid w:val="00B736F0"/>
    <w:rsid w:val="00B76119"/>
    <w:rsid w:val="00B7637A"/>
    <w:rsid w:val="00B771AF"/>
    <w:rsid w:val="00B775FF"/>
    <w:rsid w:val="00B8110A"/>
    <w:rsid w:val="00B85488"/>
    <w:rsid w:val="00B85780"/>
    <w:rsid w:val="00B87E3E"/>
    <w:rsid w:val="00B935DA"/>
    <w:rsid w:val="00B976F9"/>
    <w:rsid w:val="00B978BA"/>
    <w:rsid w:val="00BA0874"/>
    <w:rsid w:val="00BA4CD1"/>
    <w:rsid w:val="00BA4F5F"/>
    <w:rsid w:val="00BA57CD"/>
    <w:rsid w:val="00BA70C0"/>
    <w:rsid w:val="00BA739E"/>
    <w:rsid w:val="00BA7D5D"/>
    <w:rsid w:val="00BB61C2"/>
    <w:rsid w:val="00BB6F5E"/>
    <w:rsid w:val="00BB77AA"/>
    <w:rsid w:val="00BC0A44"/>
    <w:rsid w:val="00BC13B0"/>
    <w:rsid w:val="00BC3828"/>
    <w:rsid w:val="00BC53FE"/>
    <w:rsid w:val="00BC5610"/>
    <w:rsid w:val="00BD07E1"/>
    <w:rsid w:val="00BD2209"/>
    <w:rsid w:val="00BD6305"/>
    <w:rsid w:val="00BE1624"/>
    <w:rsid w:val="00BE18BE"/>
    <w:rsid w:val="00BE29C7"/>
    <w:rsid w:val="00BE2EEB"/>
    <w:rsid w:val="00BE665C"/>
    <w:rsid w:val="00BE6EAE"/>
    <w:rsid w:val="00BE72B5"/>
    <w:rsid w:val="00BF09FC"/>
    <w:rsid w:val="00BF2E1F"/>
    <w:rsid w:val="00BF56C3"/>
    <w:rsid w:val="00BF6930"/>
    <w:rsid w:val="00BF7107"/>
    <w:rsid w:val="00BF7D99"/>
    <w:rsid w:val="00C00879"/>
    <w:rsid w:val="00C0233D"/>
    <w:rsid w:val="00C05BB4"/>
    <w:rsid w:val="00C0636B"/>
    <w:rsid w:val="00C10A6A"/>
    <w:rsid w:val="00C14EDB"/>
    <w:rsid w:val="00C151C2"/>
    <w:rsid w:val="00C15EB6"/>
    <w:rsid w:val="00C16A3E"/>
    <w:rsid w:val="00C20501"/>
    <w:rsid w:val="00C20BD0"/>
    <w:rsid w:val="00C22BE1"/>
    <w:rsid w:val="00C24755"/>
    <w:rsid w:val="00C25CE0"/>
    <w:rsid w:val="00C260DC"/>
    <w:rsid w:val="00C2630E"/>
    <w:rsid w:val="00C26E8C"/>
    <w:rsid w:val="00C27704"/>
    <w:rsid w:val="00C27F0A"/>
    <w:rsid w:val="00C32671"/>
    <w:rsid w:val="00C33D41"/>
    <w:rsid w:val="00C34D4D"/>
    <w:rsid w:val="00C35A92"/>
    <w:rsid w:val="00C36108"/>
    <w:rsid w:val="00C37A98"/>
    <w:rsid w:val="00C41111"/>
    <w:rsid w:val="00C41172"/>
    <w:rsid w:val="00C4248A"/>
    <w:rsid w:val="00C44C2A"/>
    <w:rsid w:val="00C44FAA"/>
    <w:rsid w:val="00C45321"/>
    <w:rsid w:val="00C47717"/>
    <w:rsid w:val="00C504DE"/>
    <w:rsid w:val="00C50761"/>
    <w:rsid w:val="00C55B11"/>
    <w:rsid w:val="00C57733"/>
    <w:rsid w:val="00C6037B"/>
    <w:rsid w:val="00C61A31"/>
    <w:rsid w:val="00C624D6"/>
    <w:rsid w:val="00C64234"/>
    <w:rsid w:val="00C714EF"/>
    <w:rsid w:val="00C71FC6"/>
    <w:rsid w:val="00C72672"/>
    <w:rsid w:val="00C7350A"/>
    <w:rsid w:val="00C7386D"/>
    <w:rsid w:val="00C74971"/>
    <w:rsid w:val="00C767AB"/>
    <w:rsid w:val="00C775B2"/>
    <w:rsid w:val="00C77E14"/>
    <w:rsid w:val="00C83632"/>
    <w:rsid w:val="00C84BD6"/>
    <w:rsid w:val="00C84E7D"/>
    <w:rsid w:val="00C85368"/>
    <w:rsid w:val="00C8593C"/>
    <w:rsid w:val="00C86EEC"/>
    <w:rsid w:val="00C94826"/>
    <w:rsid w:val="00C9528F"/>
    <w:rsid w:val="00CA2000"/>
    <w:rsid w:val="00CA22C1"/>
    <w:rsid w:val="00CA33B6"/>
    <w:rsid w:val="00CA34E4"/>
    <w:rsid w:val="00CA378E"/>
    <w:rsid w:val="00CA3BB1"/>
    <w:rsid w:val="00CA4F48"/>
    <w:rsid w:val="00CA5B08"/>
    <w:rsid w:val="00CB0EE0"/>
    <w:rsid w:val="00CB1616"/>
    <w:rsid w:val="00CB45D7"/>
    <w:rsid w:val="00CB46A8"/>
    <w:rsid w:val="00CB601F"/>
    <w:rsid w:val="00CC0B25"/>
    <w:rsid w:val="00CC1087"/>
    <w:rsid w:val="00CC404E"/>
    <w:rsid w:val="00CC5252"/>
    <w:rsid w:val="00CC6F52"/>
    <w:rsid w:val="00CD1BCA"/>
    <w:rsid w:val="00CD32F5"/>
    <w:rsid w:val="00CD52B2"/>
    <w:rsid w:val="00CD52DD"/>
    <w:rsid w:val="00CD5F8C"/>
    <w:rsid w:val="00CE0B08"/>
    <w:rsid w:val="00CE1C4E"/>
    <w:rsid w:val="00CE236A"/>
    <w:rsid w:val="00CE7794"/>
    <w:rsid w:val="00CF20FF"/>
    <w:rsid w:val="00CF3F58"/>
    <w:rsid w:val="00CF58EB"/>
    <w:rsid w:val="00D00BF3"/>
    <w:rsid w:val="00D03685"/>
    <w:rsid w:val="00D049E5"/>
    <w:rsid w:val="00D04B35"/>
    <w:rsid w:val="00D065E2"/>
    <w:rsid w:val="00D07ECC"/>
    <w:rsid w:val="00D10197"/>
    <w:rsid w:val="00D10311"/>
    <w:rsid w:val="00D137AB"/>
    <w:rsid w:val="00D13D15"/>
    <w:rsid w:val="00D17E5D"/>
    <w:rsid w:val="00D21193"/>
    <w:rsid w:val="00D2350D"/>
    <w:rsid w:val="00D244D2"/>
    <w:rsid w:val="00D24744"/>
    <w:rsid w:val="00D24902"/>
    <w:rsid w:val="00D26B6C"/>
    <w:rsid w:val="00D26C13"/>
    <w:rsid w:val="00D274B3"/>
    <w:rsid w:val="00D32CD7"/>
    <w:rsid w:val="00D32DFB"/>
    <w:rsid w:val="00D3387B"/>
    <w:rsid w:val="00D354BA"/>
    <w:rsid w:val="00D3650F"/>
    <w:rsid w:val="00D409EA"/>
    <w:rsid w:val="00D4231E"/>
    <w:rsid w:val="00D434B8"/>
    <w:rsid w:val="00D439F2"/>
    <w:rsid w:val="00D45E6E"/>
    <w:rsid w:val="00D47AA1"/>
    <w:rsid w:val="00D47B2F"/>
    <w:rsid w:val="00D47BF5"/>
    <w:rsid w:val="00D550E7"/>
    <w:rsid w:val="00D5644F"/>
    <w:rsid w:val="00D578A5"/>
    <w:rsid w:val="00D6339C"/>
    <w:rsid w:val="00D64253"/>
    <w:rsid w:val="00D6481B"/>
    <w:rsid w:val="00D65056"/>
    <w:rsid w:val="00D66C1F"/>
    <w:rsid w:val="00D81DFA"/>
    <w:rsid w:val="00D8712F"/>
    <w:rsid w:val="00D878AC"/>
    <w:rsid w:val="00D87F14"/>
    <w:rsid w:val="00D9196E"/>
    <w:rsid w:val="00D939A9"/>
    <w:rsid w:val="00D93EAA"/>
    <w:rsid w:val="00D97210"/>
    <w:rsid w:val="00DA22BB"/>
    <w:rsid w:val="00DA4EBF"/>
    <w:rsid w:val="00DA64A0"/>
    <w:rsid w:val="00DA7794"/>
    <w:rsid w:val="00DB50D4"/>
    <w:rsid w:val="00DC03AA"/>
    <w:rsid w:val="00DC2365"/>
    <w:rsid w:val="00DC6656"/>
    <w:rsid w:val="00DC7645"/>
    <w:rsid w:val="00DC79D9"/>
    <w:rsid w:val="00DD2132"/>
    <w:rsid w:val="00DD25C1"/>
    <w:rsid w:val="00DD26DB"/>
    <w:rsid w:val="00DD3719"/>
    <w:rsid w:val="00DD62CD"/>
    <w:rsid w:val="00DD6338"/>
    <w:rsid w:val="00DE08F8"/>
    <w:rsid w:val="00DE0935"/>
    <w:rsid w:val="00DE29CA"/>
    <w:rsid w:val="00DE2EE4"/>
    <w:rsid w:val="00DE7BA8"/>
    <w:rsid w:val="00DF0D01"/>
    <w:rsid w:val="00DF27B6"/>
    <w:rsid w:val="00DF496B"/>
    <w:rsid w:val="00DF5B36"/>
    <w:rsid w:val="00DF737F"/>
    <w:rsid w:val="00DF76B2"/>
    <w:rsid w:val="00DF7CF5"/>
    <w:rsid w:val="00E00CFF"/>
    <w:rsid w:val="00E018AE"/>
    <w:rsid w:val="00E01C2F"/>
    <w:rsid w:val="00E03465"/>
    <w:rsid w:val="00E07215"/>
    <w:rsid w:val="00E100F1"/>
    <w:rsid w:val="00E10E51"/>
    <w:rsid w:val="00E15296"/>
    <w:rsid w:val="00E1550E"/>
    <w:rsid w:val="00E15511"/>
    <w:rsid w:val="00E16CE9"/>
    <w:rsid w:val="00E1764E"/>
    <w:rsid w:val="00E2208D"/>
    <w:rsid w:val="00E23248"/>
    <w:rsid w:val="00E23D39"/>
    <w:rsid w:val="00E24C0E"/>
    <w:rsid w:val="00E30A43"/>
    <w:rsid w:val="00E30E5E"/>
    <w:rsid w:val="00E3492F"/>
    <w:rsid w:val="00E36143"/>
    <w:rsid w:val="00E411B3"/>
    <w:rsid w:val="00E437E1"/>
    <w:rsid w:val="00E44207"/>
    <w:rsid w:val="00E50354"/>
    <w:rsid w:val="00E503B0"/>
    <w:rsid w:val="00E50AF6"/>
    <w:rsid w:val="00E52705"/>
    <w:rsid w:val="00E53188"/>
    <w:rsid w:val="00E5532F"/>
    <w:rsid w:val="00E55E31"/>
    <w:rsid w:val="00E5639B"/>
    <w:rsid w:val="00E60DA7"/>
    <w:rsid w:val="00E65225"/>
    <w:rsid w:val="00E652E9"/>
    <w:rsid w:val="00E66388"/>
    <w:rsid w:val="00E71A0D"/>
    <w:rsid w:val="00E73174"/>
    <w:rsid w:val="00E755F1"/>
    <w:rsid w:val="00E76976"/>
    <w:rsid w:val="00E77F3F"/>
    <w:rsid w:val="00E804EF"/>
    <w:rsid w:val="00E83795"/>
    <w:rsid w:val="00E871FF"/>
    <w:rsid w:val="00E8720C"/>
    <w:rsid w:val="00E903D1"/>
    <w:rsid w:val="00E91A83"/>
    <w:rsid w:val="00E93E3B"/>
    <w:rsid w:val="00E94322"/>
    <w:rsid w:val="00E95BA2"/>
    <w:rsid w:val="00EA1896"/>
    <w:rsid w:val="00EA1F5F"/>
    <w:rsid w:val="00EA471D"/>
    <w:rsid w:val="00EA4CE9"/>
    <w:rsid w:val="00EA5273"/>
    <w:rsid w:val="00EA7054"/>
    <w:rsid w:val="00EA70E9"/>
    <w:rsid w:val="00EA74D1"/>
    <w:rsid w:val="00EA7DD4"/>
    <w:rsid w:val="00EA7EB2"/>
    <w:rsid w:val="00EB071F"/>
    <w:rsid w:val="00EB08A2"/>
    <w:rsid w:val="00EB2492"/>
    <w:rsid w:val="00EB26F6"/>
    <w:rsid w:val="00EB3313"/>
    <w:rsid w:val="00EB3A44"/>
    <w:rsid w:val="00EC186E"/>
    <w:rsid w:val="00EC1960"/>
    <w:rsid w:val="00EC2093"/>
    <w:rsid w:val="00EC4C0A"/>
    <w:rsid w:val="00ED0D8E"/>
    <w:rsid w:val="00ED37B8"/>
    <w:rsid w:val="00ED50B6"/>
    <w:rsid w:val="00ED55D6"/>
    <w:rsid w:val="00EE134D"/>
    <w:rsid w:val="00EE323C"/>
    <w:rsid w:val="00EE3BC7"/>
    <w:rsid w:val="00EF06B6"/>
    <w:rsid w:val="00EF4BAC"/>
    <w:rsid w:val="00F00102"/>
    <w:rsid w:val="00F014A6"/>
    <w:rsid w:val="00F0266A"/>
    <w:rsid w:val="00F02B3F"/>
    <w:rsid w:val="00F10549"/>
    <w:rsid w:val="00F1104F"/>
    <w:rsid w:val="00F11112"/>
    <w:rsid w:val="00F13671"/>
    <w:rsid w:val="00F21109"/>
    <w:rsid w:val="00F2384E"/>
    <w:rsid w:val="00F27E0C"/>
    <w:rsid w:val="00F34F79"/>
    <w:rsid w:val="00F35113"/>
    <w:rsid w:val="00F3718C"/>
    <w:rsid w:val="00F379FA"/>
    <w:rsid w:val="00F4064D"/>
    <w:rsid w:val="00F412FF"/>
    <w:rsid w:val="00F46E41"/>
    <w:rsid w:val="00F46F79"/>
    <w:rsid w:val="00F52324"/>
    <w:rsid w:val="00F52CDF"/>
    <w:rsid w:val="00F566CD"/>
    <w:rsid w:val="00F56787"/>
    <w:rsid w:val="00F61A2D"/>
    <w:rsid w:val="00F61B6D"/>
    <w:rsid w:val="00F6692C"/>
    <w:rsid w:val="00F6774A"/>
    <w:rsid w:val="00F67FAB"/>
    <w:rsid w:val="00F70791"/>
    <w:rsid w:val="00F7285D"/>
    <w:rsid w:val="00F72DDB"/>
    <w:rsid w:val="00F75812"/>
    <w:rsid w:val="00F81A60"/>
    <w:rsid w:val="00F81AD7"/>
    <w:rsid w:val="00F827FB"/>
    <w:rsid w:val="00F86579"/>
    <w:rsid w:val="00F9057F"/>
    <w:rsid w:val="00F93A92"/>
    <w:rsid w:val="00F93F41"/>
    <w:rsid w:val="00F94713"/>
    <w:rsid w:val="00F97580"/>
    <w:rsid w:val="00F9765A"/>
    <w:rsid w:val="00FA17A0"/>
    <w:rsid w:val="00FA1BDD"/>
    <w:rsid w:val="00FA437C"/>
    <w:rsid w:val="00FB1F14"/>
    <w:rsid w:val="00FB6D40"/>
    <w:rsid w:val="00FB70BF"/>
    <w:rsid w:val="00FB74DD"/>
    <w:rsid w:val="00FB784C"/>
    <w:rsid w:val="00FC0586"/>
    <w:rsid w:val="00FC375D"/>
    <w:rsid w:val="00FC4140"/>
    <w:rsid w:val="00FC4D46"/>
    <w:rsid w:val="00FC511F"/>
    <w:rsid w:val="00FC6FA1"/>
    <w:rsid w:val="00FC7FC4"/>
    <w:rsid w:val="00FD1E08"/>
    <w:rsid w:val="00FD2441"/>
    <w:rsid w:val="00FD290C"/>
    <w:rsid w:val="00FD494D"/>
    <w:rsid w:val="00FD4C8C"/>
    <w:rsid w:val="00FD68CA"/>
    <w:rsid w:val="00FE3969"/>
    <w:rsid w:val="00FE4246"/>
    <w:rsid w:val="00FE55F0"/>
    <w:rsid w:val="00FF0FF6"/>
    <w:rsid w:val="00FF1B1C"/>
    <w:rsid w:val="00FF320B"/>
    <w:rsid w:val="00FF377B"/>
    <w:rsid w:val="00FF6AA8"/>
    <w:rsid w:val="022E147A"/>
    <w:rsid w:val="02870FFB"/>
    <w:rsid w:val="0567205D"/>
    <w:rsid w:val="05BF27AA"/>
    <w:rsid w:val="06F30649"/>
    <w:rsid w:val="0A7342C4"/>
    <w:rsid w:val="0B2D7AEF"/>
    <w:rsid w:val="0B7F278A"/>
    <w:rsid w:val="0BA26EC0"/>
    <w:rsid w:val="0C4A39C9"/>
    <w:rsid w:val="0CFC6073"/>
    <w:rsid w:val="0EFC3DE3"/>
    <w:rsid w:val="0F927CBE"/>
    <w:rsid w:val="0FFD22C2"/>
    <w:rsid w:val="112A7758"/>
    <w:rsid w:val="112C221A"/>
    <w:rsid w:val="12DC5E1B"/>
    <w:rsid w:val="14F533C5"/>
    <w:rsid w:val="15503981"/>
    <w:rsid w:val="19CC4302"/>
    <w:rsid w:val="1C081270"/>
    <w:rsid w:val="1D22685E"/>
    <w:rsid w:val="20DC119A"/>
    <w:rsid w:val="25782472"/>
    <w:rsid w:val="26807DE8"/>
    <w:rsid w:val="27D07673"/>
    <w:rsid w:val="288E17C4"/>
    <w:rsid w:val="29A36E26"/>
    <w:rsid w:val="29F408E3"/>
    <w:rsid w:val="2C4455C4"/>
    <w:rsid w:val="2D1228AA"/>
    <w:rsid w:val="2DA83B68"/>
    <w:rsid w:val="2DC81430"/>
    <w:rsid w:val="2E4E487C"/>
    <w:rsid w:val="2ECA1D00"/>
    <w:rsid w:val="2F5A6435"/>
    <w:rsid w:val="30580A87"/>
    <w:rsid w:val="31C91C40"/>
    <w:rsid w:val="35FB7562"/>
    <w:rsid w:val="37A765E9"/>
    <w:rsid w:val="380524A7"/>
    <w:rsid w:val="383E695E"/>
    <w:rsid w:val="3A117111"/>
    <w:rsid w:val="3BF348AD"/>
    <w:rsid w:val="3D1814DB"/>
    <w:rsid w:val="3E544CE8"/>
    <w:rsid w:val="3E6B5083"/>
    <w:rsid w:val="3F67033E"/>
    <w:rsid w:val="405F1C9D"/>
    <w:rsid w:val="41550B21"/>
    <w:rsid w:val="42251924"/>
    <w:rsid w:val="49C51F6F"/>
    <w:rsid w:val="4BF84760"/>
    <w:rsid w:val="4E1C5F53"/>
    <w:rsid w:val="4E1E15A3"/>
    <w:rsid w:val="4EE26756"/>
    <w:rsid w:val="52B17850"/>
    <w:rsid w:val="546176B4"/>
    <w:rsid w:val="5B2E20C3"/>
    <w:rsid w:val="5B81391E"/>
    <w:rsid w:val="5BC56E1E"/>
    <w:rsid w:val="5C214ACB"/>
    <w:rsid w:val="5C6404E2"/>
    <w:rsid w:val="5DC4518D"/>
    <w:rsid w:val="5E580827"/>
    <w:rsid w:val="5E8337A7"/>
    <w:rsid w:val="649C1EA3"/>
    <w:rsid w:val="66682431"/>
    <w:rsid w:val="67CA0D9F"/>
    <w:rsid w:val="682F6ECC"/>
    <w:rsid w:val="68CD3717"/>
    <w:rsid w:val="699F1DD7"/>
    <w:rsid w:val="70D34CA3"/>
    <w:rsid w:val="73CB33FB"/>
    <w:rsid w:val="752133B5"/>
    <w:rsid w:val="75485F57"/>
    <w:rsid w:val="756C7E9F"/>
    <w:rsid w:val="76EC16BE"/>
    <w:rsid w:val="77146344"/>
    <w:rsid w:val="7721637E"/>
    <w:rsid w:val="7ABC049B"/>
    <w:rsid w:val="7BCF1DF4"/>
    <w:rsid w:val="7CCF72B1"/>
    <w:rsid w:val="7EA05F5C"/>
    <w:rsid w:val="7FCB00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qFormat="1" w:unhideWhenUsed="0" w:uiPriority="0"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semiHidden="0" w:name="page number"/>
    <w:lsdException w:qFormat="1" w:uiPriority="99" w:semiHidden="0" w:name="endnote reference"/>
    <w:lsdException w:qFormat="1" w:uiPriority="99" w:semiHidden="0" w:name="endnote text"/>
    <w:lsdException w:uiPriority="99" w:name="table of authorities"/>
    <w:lsdException w:uiPriority="99" w:name="macro"/>
    <w:lsdException w:qFormat="1" w:unhideWhenUsed="0" w:uiPriority="0"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qFormat="1" w:uiPriority="99" w:semiHidden="0"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qFormat="1" w:unhideWhenUsed="0" w:uiPriority="0" w:semiHidden="0" w:name="Body Text First Indent"/>
    <w:lsdException w:qFormat="1"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iPriority="99"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57"/>
    <w:qFormat/>
    <w:uiPriority w:val="9"/>
    <w:pPr>
      <w:keepNext/>
      <w:keepLines/>
      <w:spacing w:line="360" w:lineRule="auto"/>
      <w:ind w:firstLine="200" w:firstLineChars="200"/>
      <w:outlineLvl w:val="0"/>
    </w:pPr>
    <w:rPr>
      <w:rFonts w:ascii="Calibri" w:hAnsi="Calibri" w:eastAsia="黑体" w:cs="Times New Roman"/>
      <w:b/>
      <w:bCs/>
      <w:kern w:val="44"/>
      <w:sz w:val="44"/>
      <w:szCs w:val="44"/>
    </w:rPr>
  </w:style>
  <w:style w:type="paragraph" w:styleId="3">
    <w:name w:val="heading 2"/>
    <w:basedOn w:val="1"/>
    <w:next w:val="1"/>
    <w:link w:val="58"/>
    <w:qFormat/>
    <w:uiPriority w:val="9"/>
    <w:pPr>
      <w:keepNext/>
      <w:keepLines/>
      <w:tabs>
        <w:tab w:val="left" w:pos="708"/>
      </w:tabs>
      <w:spacing w:line="360" w:lineRule="auto"/>
      <w:textAlignment w:val="baseline"/>
      <w:outlineLvl w:val="1"/>
    </w:pPr>
    <w:rPr>
      <w:rFonts w:ascii="Arial" w:hAnsi="Arial" w:eastAsia="黑体" w:cs="Times New Roman"/>
      <w:b/>
      <w:bCs/>
      <w:kern w:val="0"/>
      <w:sz w:val="28"/>
      <w:szCs w:val="32"/>
    </w:rPr>
  </w:style>
  <w:style w:type="paragraph" w:styleId="4">
    <w:name w:val="heading 3"/>
    <w:basedOn w:val="1"/>
    <w:next w:val="1"/>
    <w:link w:val="59"/>
    <w:qFormat/>
    <w:uiPriority w:val="9"/>
    <w:pPr>
      <w:keepNext/>
      <w:keepLines/>
      <w:tabs>
        <w:tab w:val="left" w:pos="1418"/>
      </w:tabs>
      <w:spacing w:before="260" w:after="260" w:line="416" w:lineRule="auto"/>
      <w:ind w:firstLine="284"/>
      <w:outlineLvl w:val="2"/>
    </w:pPr>
    <w:rPr>
      <w:rFonts w:ascii="Calibri" w:hAnsi="Calibri" w:eastAsia="宋体" w:cs="Times New Roman"/>
      <w:b/>
      <w:bCs/>
      <w:kern w:val="0"/>
      <w:sz w:val="32"/>
      <w:szCs w:val="32"/>
    </w:rPr>
  </w:style>
  <w:style w:type="paragraph" w:styleId="5">
    <w:name w:val="heading 4"/>
    <w:basedOn w:val="1"/>
    <w:next w:val="1"/>
    <w:link w:val="60"/>
    <w:qFormat/>
    <w:uiPriority w:val="9"/>
    <w:pPr>
      <w:keepNext/>
      <w:keepLines/>
      <w:spacing w:before="280" w:after="290" w:line="376" w:lineRule="auto"/>
      <w:outlineLvl w:val="3"/>
    </w:pPr>
    <w:rPr>
      <w:rFonts w:ascii="Cambria" w:hAnsi="Cambria" w:eastAsia="宋体" w:cs="Times New Roman"/>
      <w:b/>
      <w:bCs/>
      <w:kern w:val="0"/>
      <w:sz w:val="28"/>
      <w:szCs w:val="28"/>
    </w:rPr>
  </w:style>
  <w:style w:type="paragraph" w:styleId="6">
    <w:name w:val="heading 5"/>
    <w:basedOn w:val="1"/>
    <w:next w:val="1"/>
    <w:link w:val="61"/>
    <w:qFormat/>
    <w:uiPriority w:val="0"/>
    <w:pPr>
      <w:keepNext/>
      <w:keepLines/>
      <w:tabs>
        <w:tab w:val="left" w:pos="1008"/>
      </w:tabs>
      <w:spacing w:before="280" w:after="290" w:line="376" w:lineRule="auto"/>
      <w:ind w:left="1008" w:hanging="1008"/>
      <w:outlineLvl w:val="4"/>
    </w:pPr>
    <w:rPr>
      <w:rFonts w:ascii="Times New Roman" w:hAnsi="Times New Roman" w:eastAsia="黑体" w:cs="Times New Roman"/>
      <w:bCs/>
      <w:sz w:val="24"/>
      <w:szCs w:val="28"/>
    </w:rPr>
  </w:style>
  <w:style w:type="paragraph" w:styleId="7">
    <w:name w:val="heading 6"/>
    <w:basedOn w:val="1"/>
    <w:next w:val="1"/>
    <w:link w:val="62"/>
    <w:qFormat/>
    <w:uiPriority w:val="0"/>
    <w:pPr>
      <w:keepNext/>
      <w:keepLines/>
      <w:tabs>
        <w:tab w:val="left" w:pos="1152"/>
      </w:tabs>
      <w:spacing w:before="240" w:after="64" w:line="320" w:lineRule="auto"/>
      <w:ind w:left="1152" w:hanging="1152"/>
      <w:outlineLvl w:val="5"/>
    </w:pPr>
    <w:rPr>
      <w:rFonts w:ascii="Arial" w:hAnsi="Arial" w:eastAsia="黑体" w:cs="Times New Roman"/>
      <w:bCs/>
      <w:szCs w:val="24"/>
    </w:rPr>
  </w:style>
  <w:style w:type="paragraph" w:styleId="8">
    <w:name w:val="heading 7"/>
    <w:basedOn w:val="1"/>
    <w:next w:val="1"/>
    <w:link w:val="63"/>
    <w:qFormat/>
    <w:uiPriority w:val="0"/>
    <w:pPr>
      <w:keepNext/>
      <w:keepLines/>
      <w:tabs>
        <w:tab w:val="left" w:pos="2520"/>
      </w:tabs>
      <w:spacing w:before="240" w:after="64" w:line="320" w:lineRule="auto"/>
      <w:ind w:left="1296" w:hanging="1296"/>
      <w:outlineLvl w:val="6"/>
    </w:pPr>
    <w:rPr>
      <w:rFonts w:ascii="Times New Roman" w:hAnsi="Times New Roman" w:eastAsia="宋体" w:cs="Times New Roman"/>
      <w:b/>
      <w:bCs/>
      <w:sz w:val="24"/>
      <w:szCs w:val="24"/>
    </w:rPr>
  </w:style>
  <w:style w:type="paragraph" w:styleId="9">
    <w:name w:val="heading 8"/>
    <w:basedOn w:val="1"/>
    <w:next w:val="1"/>
    <w:link w:val="64"/>
    <w:qFormat/>
    <w:uiPriority w:val="0"/>
    <w:pPr>
      <w:keepNext/>
      <w:keepLines/>
      <w:tabs>
        <w:tab w:val="left" w:pos="2880"/>
      </w:tabs>
      <w:spacing w:before="240" w:after="64" w:line="320" w:lineRule="auto"/>
      <w:ind w:left="1440" w:hanging="1440"/>
      <w:outlineLvl w:val="7"/>
    </w:pPr>
    <w:rPr>
      <w:rFonts w:ascii="Arial" w:hAnsi="Arial" w:eastAsia="黑体" w:cs="Times New Roman"/>
      <w:sz w:val="24"/>
      <w:szCs w:val="24"/>
    </w:rPr>
  </w:style>
  <w:style w:type="paragraph" w:styleId="10">
    <w:name w:val="heading 9"/>
    <w:basedOn w:val="1"/>
    <w:next w:val="1"/>
    <w:link w:val="65"/>
    <w:qFormat/>
    <w:uiPriority w:val="0"/>
    <w:pPr>
      <w:keepNext/>
      <w:keepLines/>
      <w:tabs>
        <w:tab w:val="left" w:pos="2880"/>
      </w:tabs>
      <w:spacing w:before="240" w:after="64" w:line="320" w:lineRule="auto"/>
      <w:ind w:left="1584" w:hanging="1584"/>
      <w:outlineLvl w:val="8"/>
    </w:pPr>
    <w:rPr>
      <w:rFonts w:ascii="Arial" w:hAnsi="Arial" w:eastAsia="黑体" w:cs="Times New Roman"/>
      <w:szCs w:val="21"/>
    </w:rPr>
  </w:style>
  <w:style w:type="character" w:default="1" w:styleId="48">
    <w:name w:val="Default Paragraph Font"/>
    <w:unhideWhenUsed/>
    <w:qFormat/>
    <w:uiPriority w:val="1"/>
  </w:style>
  <w:style w:type="table" w:default="1" w:styleId="55">
    <w:name w:val="Normal Table"/>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71"/>
    <w:unhideWhenUsed/>
    <w:qFormat/>
    <w:uiPriority w:val="99"/>
    <w:rPr>
      <w:b/>
      <w:bCs/>
    </w:rPr>
  </w:style>
  <w:style w:type="paragraph" w:styleId="12">
    <w:name w:val="annotation text"/>
    <w:basedOn w:val="1"/>
    <w:link w:val="120"/>
    <w:unhideWhenUsed/>
    <w:qFormat/>
    <w:uiPriority w:val="99"/>
    <w:pPr>
      <w:jc w:val="left"/>
    </w:pPr>
  </w:style>
  <w:style w:type="paragraph" w:styleId="13">
    <w:name w:val="toc 7"/>
    <w:basedOn w:val="1"/>
    <w:next w:val="1"/>
    <w:unhideWhenUsed/>
    <w:qFormat/>
    <w:uiPriority w:val="39"/>
    <w:pPr>
      <w:ind w:left="1260"/>
      <w:jc w:val="left"/>
    </w:pPr>
    <w:rPr>
      <w:rFonts w:ascii="Calibri" w:hAnsi="Calibri" w:eastAsia="宋体" w:cs="Times New Roman"/>
      <w:sz w:val="18"/>
      <w:szCs w:val="18"/>
    </w:rPr>
  </w:style>
  <w:style w:type="paragraph" w:styleId="14">
    <w:name w:val="Body Text First Indent"/>
    <w:basedOn w:val="1"/>
    <w:link w:val="76"/>
    <w:qFormat/>
    <w:uiPriority w:val="0"/>
    <w:pPr>
      <w:spacing w:after="120"/>
      <w:ind w:firstLine="420" w:firstLineChars="100"/>
    </w:pPr>
    <w:rPr>
      <w:rFonts w:ascii="Times New Roman" w:hAnsi="Times New Roman"/>
      <w:szCs w:val="24"/>
    </w:rPr>
  </w:style>
  <w:style w:type="paragraph" w:styleId="15">
    <w:name w:val="Normal Indent"/>
    <w:basedOn w:val="1"/>
    <w:link w:val="66"/>
    <w:unhideWhenUsed/>
    <w:qFormat/>
    <w:uiPriority w:val="0"/>
    <w:pPr>
      <w:ind w:firstLine="420" w:firstLineChars="200"/>
    </w:pPr>
  </w:style>
  <w:style w:type="paragraph" w:styleId="16">
    <w:name w:val="caption"/>
    <w:basedOn w:val="1"/>
    <w:next w:val="1"/>
    <w:qFormat/>
    <w:uiPriority w:val="35"/>
    <w:pPr>
      <w:spacing w:line="300" w:lineRule="auto"/>
      <w:ind w:firstLine="200" w:firstLineChars="200"/>
    </w:pPr>
    <w:rPr>
      <w:rFonts w:ascii="Arial" w:hAnsi="Arial" w:eastAsia="黑体" w:cs="Arial"/>
      <w:sz w:val="20"/>
      <w:szCs w:val="20"/>
    </w:rPr>
  </w:style>
  <w:style w:type="paragraph" w:styleId="17">
    <w:name w:val="Document Map"/>
    <w:basedOn w:val="1"/>
    <w:link w:val="122"/>
    <w:semiHidden/>
    <w:qFormat/>
    <w:uiPriority w:val="0"/>
    <w:pPr>
      <w:shd w:val="clear" w:color="auto" w:fill="000080"/>
    </w:pPr>
    <w:rPr>
      <w:rFonts w:ascii="Times New Roman" w:hAnsi="Times New Roman" w:eastAsia="宋体" w:cs="Times New Roman"/>
    </w:rPr>
  </w:style>
  <w:style w:type="paragraph" w:styleId="18">
    <w:name w:val="toa heading"/>
    <w:basedOn w:val="1"/>
    <w:next w:val="1"/>
    <w:semiHidden/>
    <w:qFormat/>
    <w:uiPriority w:val="0"/>
    <w:pPr>
      <w:spacing w:before="120"/>
    </w:pPr>
    <w:rPr>
      <w:rFonts w:ascii="Arial" w:hAnsi="Arial" w:eastAsia="宋体" w:cs="Times New Roman"/>
      <w:b/>
      <w:sz w:val="18"/>
      <w:szCs w:val="24"/>
    </w:rPr>
  </w:style>
  <w:style w:type="paragraph" w:styleId="19">
    <w:name w:val="Body Text 3"/>
    <w:basedOn w:val="1"/>
    <w:link w:val="69"/>
    <w:qFormat/>
    <w:uiPriority w:val="0"/>
    <w:pPr>
      <w:spacing w:line="360" w:lineRule="auto"/>
    </w:pPr>
    <w:rPr>
      <w:rFonts w:ascii="Times New Roman" w:hAnsi="Times New Roman"/>
      <w:color w:val="FF0000"/>
      <w:sz w:val="24"/>
      <w:szCs w:val="24"/>
    </w:rPr>
  </w:style>
  <w:style w:type="paragraph" w:styleId="20">
    <w:name w:val="Body Text"/>
    <w:basedOn w:val="1"/>
    <w:link w:val="92"/>
    <w:qFormat/>
    <w:uiPriority w:val="0"/>
    <w:rPr>
      <w:sz w:val="24"/>
      <w:szCs w:val="24"/>
    </w:rPr>
  </w:style>
  <w:style w:type="paragraph" w:styleId="21">
    <w:name w:val="Body Text Indent"/>
    <w:basedOn w:val="1"/>
    <w:link w:val="100"/>
    <w:qFormat/>
    <w:uiPriority w:val="0"/>
    <w:pPr>
      <w:ind w:left="559" w:leftChars="266"/>
    </w:pPr>
    <w:rPr>
      <w:rFonts w:ascii="仿宋_GB2312" w:hAnsi="Times New Roman" w:eastAsia="仿宋_GB2312"/>
      <w:sz w:val="28"/>
      <w:szCs w:val="24"/>
    </w:rPr>
  </w:style>
  <w:style w:type="paragraph" w:styleId="22">
    <w:name w:val="Block Text"/>
    <w:basedOn w:val="1"/>
    <w:qFormat/>
    <w:uiPriority w:val="0"/>
    <w:pPr>
      <w:spacing w:line="360" w:lineRule="auto"/>
      <w:ind w:left="420" w:right="22" w:firstLine="480"/>
    </w:pPr>
    <w:rPr>
      <w:rFonts w:ascii="宋体" w:hAnsi="宋体" w:eastAsia="宋体" w:cs="Times New Roman"/>
      <w:szCs w:val="20"/>
    </w:rPr>
  </w:style>
  <w:style w:type="paragraph" w:styleId="23">
    <w:name w:val="toc 5"/>
    <w:basedOn w:val="1"/>
    <w:next w:val="1"/>
    <w:unhideWhenUsed/>
    <w:qFormat/>
    <w:uiPriority w:val="39"/>
    <w:pPr>
      <w:ind w:left="840"/>
      <w:jc w:val="left"/>
    </w:pPr>
    <w:rPr>
      <w:rFonts w:ascii="Calibri" w:hAnsi="Calibri" w:eastAsia="宋体" w:cs="Times New Roman"/>
      <w:sz w:val="18"/>
      <w:szCs w:val="18"/>
    </w:rPr>
  </w:style>
  <w:style w:type="paragraph" w:styleId="24">
    <w:name w:val="toc 3"/>
    <w:basedOn w:val="1"/>
    <w:next w:val="1"/>
    <w:unhideWhenUsed/>
    <w:qFormat/>
    <w:uiPriority w:val="39"/>
    <w:pPr>
      <w:ind w:left="420"/>
      <w:jc w:val="left"/>
    </w:pPr>
    <w:rPr>
      <w:rFonts w:ascii="Calibri" w:hAnsi="Calibri" w:eastAsia="宋体" w:cs="Times New Roman"/>
      <w:i/>
      <w:iCs/>
      <w:sz w:val="20"/>
      <w:szCs w:val="20"/>
    </w:rPr>
  </w:style>
  <w:style w:type="paragraph" w:styleId="25">
    <w:name w:val="Plain Text"/>
    <w:basedOn w:val="1"/>
    <w:link w:val="102"/>
    <w:qFormat/>
    <w:uiPriority w:val="0"/>
    <w:rPr>
      <w:rFonts w:ascii="宋体" w:hAnsi="Courier New"/>
    </w:rPr>
  </w:style>
  <w:style w:type="paragraph" w:styleId="26">
    <w:name w:val="toc 8"/>
    <w:basedOn w:val="1"/>
    <w:next w:val="1"/>
    <w:unhideWhenUsed/>
    <w:qFormat/>
    <w:uiPriority w:val="39"/>
    <w:pPr>
      <w:ind w:left="1470"/>
      <w:jc w:val="left"/>
    </w:pPr>
    <w:rPr>
      <w:rFonts w:ascii="Calibri" w:hAnsi="Calibri" w:eastAsia="宋体" w:cs="Times New Roman"/>
      <w:sz w:val="18"/>
      <w:szCs w:val="18"/>
    </w:rPr>
  </w:style>
  <w:style w:type="paragraph" w:styleId="27">
    <w:name w:val="Date"/>
    <w:basedOn w:val="1"/>
    <w:next w:val="1"/>
    <w:link w:val="99"/>
    <w:qFormat/>
    <w:uiPriority w:val="99"/>
    <w:rPr>
      <w:rFonts w:ascii="Times New Roman" w:hAnsi="Times New Roman" w:eastAsia="幼圆"/>
      <w:sz w:val="28"/>
    </w:rPr>
  </w:style>
  <w:style w:type="paragraph" w:styleId="28">
    <w:name w:val="Body Text Indent 2"/>
    <w:basedOn w:val="1"/>
    <w:link w:val="98"/>
    <w:unhideWhenUsed/>
    <w:qFormat/>
    <w:uiPriority w:val="99"/>
    <w:pPr>
      <w:spacing w:after="120" w:line="480" w:lineRule="auto"/>
      <w:ind w:left="420" w:leftChars="200"/>
    </w:pPr>
  </w:style>
  <w:style w:type="paragraph" w:styleId="29">
    <w:name w:val="endnote text"/>
    <w:basedOn w:val="1"/>
    <w:link w:val="70"/>
    <w:unhideWhenUsed/>
    <w:qFormat/>
    <w:uiPriority w:val="99"/>
    <w:pPr>
      <w:snapToGrid w:val="0"/>
      <w:jc w:val="left"/>
    </w:pPr>
  </w:style>
  <w:style w:type="paragraph" w:styleId="30">
    <w:name w:val="Balloon Text"/>
    <w:basedOn w:val="1"/>
    <w:link w:val="97"/>
    <w:unhideWhenUsed/>
    <w:qFormat/>
    <w:uiPriority w:val="99"/>
    <w:rPr>
      <w:sz w:val="18"/>
      <w:szCs w:val="18"/>
    </w:rPr>
  </w:style>
  <w:style w:type="paragraph" w:styleId="31">
    <w:name w:val="footer"/>
    <w:basedOn w:val="1"/>
    <w:link w:val="75"/>
    <w:unhideWhenUsed/>
    <w:qFormat/>
    <w:uiPriority w:val="99"/>
    <w:pPr>
      <w:tabs>
        <w:tab w:val="center" w:pos="4153"/>
        <w:tab w:val="right" w:pos="8306"/>
      </w:tabs>
      <w:snapToGrid w:val="0"/>
      <w:jc w:val="left"/>
    </w:pPr>
    <w:rPr>
      <w:sz w:val="18"/>
      <w:szCs w:val="18"/>
    </w:rPr>
  </w:style>
  <w:style w:type="paragraph" w:styleId="32">
    <w:name w:val="Body Text First Indent 2"/>
    <w:basedOn w:val="21"/>
    <w:link w:val="127"/>
    <w:unhideWhenUsed/>
    <w:qFormat/>
    <w:uiPriority w:val="99"/>
    <w:pPr>
      <w:ind w:firstLine="420" w:firstLineChars="200"/>
    </w:pPr>
  </w:style>
  <w:style w:type="paragraph" w:styleId="33">
    <w:name w:val="header"/>
    <w:basedOn w:val="1"/>
    <w:link w:val="84"/>
    <w:unhideWhenUsed/>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unhideWhenUsed/>
    <w:qFormat/>
    <w:uiPriority w:val="39"/>
    <w:pPr>
      <w:spacing w:before="120" w:after="120"/>
      <w:jc w:val="left"/>
    </w:pPr>
    <w:rPr>
      <w:rFonts w:ascii="Calibri" w:hAnsi="Calibri" w:eastAsia="宋体" w:cs="Times New Roman"/>
      <w:b/>
      <w:bCs/>
      <w:caps/>
      <w:sz w:val="20"/>
      <w:szCs w:val="20"/>
    </w:rPr>
  </w:style>
  <w:style w:type="paragraph" w:styleId="35">
    <w:name w:val="toc 4"/>
    <w:basedOn w:val="1"/>
    <w:next w:val="1"/>
    <w:unhideWhenUsed/>
    <w:qFormat/>
    <w:uiPriority w:val="39"/>
    <w:pPr>
      <w:ind w:left="630"/>
      <w:jc w:val="left"/>
    </w:pPr>
    <w:rPr>
      <w:rFonts w:ascii="Calibri" w:hAnsi="Calibri" w:eastAsia="宋体" w:cs="Times New Roman"/>
      <w:sz w:val="18"/>
      <w:szCs w:val="18"/>
    </w:rPr>
  </w:style>
  <w:style w:type="paragraph" w:styleId="36">
    <w:name w:val="index heading"/>
    <w:basedOn w:val="1"/>
    <w:next w:val="37"/>
    <w:semiHidden/>
    <w:qFormat/>
    <w:uiPriority w:val="0"/>
    <w:pPr>
      <w:adjustRightInd w:val="0"/>
      <w:spacing w:line="310" w:lineRule="atLeast"/>
      <w:jc w:val="left"/>
      <w:textAlignment w:val="baseline"/>
    </w:pPr>
    <w:rPr>
      <w:rFonts w:ascii="黑体" w:hAnsi="Times New Roman" w:eastAsia="黑体" w:cs="Times New Roman"/>
      <w:color w:val="000000"/>
      <w:kern w:val="0"/>
      <w:sz w:val="24"/>
      <w:szCs w:val="20"/>
    </w:rPr>
  </w:style>
  <w:style w:type="paragraph" w:styleId="37">
    <w:name w:val="index 1"/>
    <w:basedOn w:val="1"/>
    <w:next w:val="1"/>
    <w:semiHidden/>
    <w:qFormat/>
    <w:uiPriority w:val="0"/>
    <w:rPr>
      <w:rFonts w:ascii="Times New Roman" w:hAnsi="Times New Roman" w:eastAsia="宋体" w:cs="Times New Roman"/>
      <w:szCs w:val="24"/>
    </w:rPr>
  </w:style>
  <w:style w:type="paragraph" w:styleId="38">
    <w:name w:val="List"/>
    <w:basedOn w:val="1"/>
    <w:qFormat/>
    <w:uiPriority w:val="0"/>
    <w:pPr>
      <w:spacing w:line="360" w:lineRule="auto"/>
      <w:ind w:left="200" w:hanging="200"/>
    </w:pPr>
    <w:rPr>
      <w:rFonts w:ascii="Times New Roman" w:hAnsi="Times New Roman" w:eastAsia="宋体" w:cs="Times New Roman"/>
      <w:sz w:val="24"/>
      <w:szCs w:val="24"/>
    </w:rPr>
  </w:style>
  <w:style w:type="paragraph" w:styleId="39">
    <w:name w:val="toc 6"/>
    <w:basedOn w:val="1"/>
    <w:next w:val="1"/>
    <w:unhideWhenUsed/>
    <w:qFormat/>
    <w:uiPriority w:val="39"/>
    <w:pPr>
      <w:ind w:left="1050"/>
      <w:jc w:val="left"/>
    </w:pPr>
    <w:rPr>
      <w:rFonts w:ascii="Calibri" w:hAnsi="Calibri" w:eastAsia="宋体" w:cs="Times New Roman"/>
      <w:sz w:val="18"/>
      <w:szCs w:val="18"/>
    </w:rPr>
  </w:style>
  <w:style w:type="paragraph" w:styleId="40">
    <w:name w:val="Body Text Indent 3"/>
    <w:basedOn w:val="1"/>
    <w:link w:val="83"/>
    <w:qFormat/>
    <w:uiPriority w:val="0"/>
    <w:pPr>
      <w:ind w:firstLine="420"/>
    </w:pPr>
    <w:rPr>
      <w:rFonts w:ascii="Times New Roman" w:hAnsi="Times New Roman"/>
      <w:b/>
      <w:i/>
      <w:color w:val="000000"/>
      <w:szCs w:val="24"/>
      <w:u w:val="single"/>
    </w:rPr>
  </w:style>
  <w:style w:type="paragraph" w:styleId="41">
    <w:name w:val="toc 2"/>
    <w:basedOn w:val="1"/>
    <w:next w:val="1"/>
    <w:qFormat/>
    <w:uiPriority w:val="39"/>
    <w:pPr>
      <w:ind w:left="210"/>
      <w:jc w:val="left"/>
    </w:pPr>
    <w:rPr>
      <w:rFonts w:ascii="Calibri" w:hAnsi="Calibri" w:eastAsia="宋体" w:cs="Times New Roman"/>
      <w:smallCaps/>
      <w:sz w:val="20"/>
      <w:szCs w:val="20"/>
    </w:rPr>
  </w:style>
  <w:style w:type="paragraph" w:styleId="42">
    <w:name w:val="toc 9"/>
    <w:basedOn w:val="1"/>
    <w:next w:val="1"/>
    <w:unhideWhenUsed/>
    <w:qFormat/>
    <w:uiPriority w:val="39"/>
    <w:pPr>
      <w:ind w:left="1680"/>
      <w:jc w:val="left"/>
    </w:pPr>
    <w:rPr>
      <w:rFonts w:ascii="Calibri" w:hAnsi="Calibri" w:eastAsia="宋体" w:cs="Times New Roman"/>
      <w:sz w:val="18"/>
      <w:szCs w:val="18"/>
    </w:rPr>
  </w:style>
  <w:style w:type="paragraph" w:styleId="43">
    <w:name w:val="Body Text 2"/>
    <w:basedOn w:val="1"/>
    <w:link w:val="93"/>
    <w:qFormat/>
    <w:uiPriority w:val="0"/>
    <w:rPr>
      <w:rFonts w:ascii="Times New Roman" w:hAnsi="Times New Roman"/>
      <w:color w:val="000000"/>
      <w:szCs w:val="24"/>
    </w:rPr>
  </w:style>
  <w:style w:type="paragraph" w:styleId="44">
    <w:name w:val="List Continue 2"/>
    <w:basedOn w:val="1"/>
    <w:unhideWhenUsed/>
    <w:qFormat/>
    <w:uiPriority w:val="99"/>
    <w:pPr>
      <w:spacing w:after="120"/>
      <w:ind w:left="840" w:leftChars="400"/>
      <w:contextualSpacing/>
    </w:pPr>
    <w:rPr>
      <w:rFonts w:ascii="Times New Roman" w:hAnsi="Times New Roman" w:eastAsia="宋体" w:cs="Times New Roman"/>
    </w:rPr>
  </w:style>
  <w:style w:type="paragraph" w:styleId="45">
    <w:name w:val="HTML Preformatted"/>
    <w:basedOn w:val="1"/>
    <w:link w:val="130"/>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46">
    <w:name w:val="Normal (Web)"/>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styleId="47">
    <w:name w:val="Title"/>
    <w:basedOn w:val="1"/>
    <w:next w:val="1"/>
    <w:link w:val="94"/>
    <w:qFormat/>
    <w:uiPriority w:val="10"/>
    <w:pPr>
      <w:spacing w:before="240" w:after="60"/>
      <w:jc w:val="center"/>
      <w:outlineLvl w:val="0"/>
    </w:pPr>
    <w:rPr>
      <w:rFonts w:ascii="Cambria" w:hAnsi="Cambria"/>
      <w:b/>
      <w:bCs/>
      <w:sz w:val="32"/>
      <w:szCs w:val="32"/>
    </w:rPr>
  </w:style>
  <w:style w:type="character" w:styleId="49">
    <w:name w:val="Strong"/>
    <w:qFormat/>
    <w:uiPriority w:val="22"/>
    <w:rPr>
      <w:b/>
      <w:bCs/>
    </w:rPr>
  </w:style>
  <w:style w:type="character" w:styleId="50">
    <w:name w:val="endnote reference"/>
    <w:unhideWhenUsed/>
    <w:qFormat/>
    <w:uiPriority w:val="99"/>
    <w:rPr>
      <w:vertAlign w:val="superscript"/>
    </w:rPr>
  </w:style>
  <w:style w:type="character" w:styleId="51">
    <w:name w:val="page number"/>
    <w:basedOn w:val="48"/>
    <w:qFormat/>
    <w:uiPriority w:val="0"/>
    <w:rPr>
      <w:rFonts w:ascii="Times New Roman" w:hAnsi="Times New Roman" w:cs="Times New Roman"/>
    </w:rPr>
  </w:style>
  <w:style w:type="character" w:styleId="52">
    <w:name w:val="FollowedHyperlink"/>
    <w:unhideWhenUsed/>
    <w:qFormat/>
    <w:uiPriority w:val="0"/>
    <w:rPr>
      <w:color w:val="333333"/>
      <w:u w:val="none"/>
    </w:rPr>
  </w:style>
  <w:style w:type="character" w:styleId="53">
    <w:name w:val="Hyperlink"/>
    <w:qFormat/>
    <w:uiPriority w:val="99"/>
    <w:rPr>
      <w:rFonts w:ascii="Times New Roman" w:hAnsi="Times New Roman" w:cs="Times New Roman"/>
      <w:color w:val="0000FF"/>
      <w:u w:val="single"/>
    </w:rPr>
  </w:style>
  <w:style w:type="character" w:styleId="54">
    <w:name w:val="annotation reference"/>
    <w:unhideWhenUsed/>
    <w:qFormat/>
    <w:uiPriority w:val="0"/>
    <w:rPr>
      <w:sz w:val="21"/>
      <w:szCs w:val="21"/>
    </w:rPr>
  </w:style>
  <w:style w:type="table" w:styleId="56">
    <w:name w:val="Table Grid"/>
    <w:basedOn w:val="5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57">
    <w:name w:val="标题 1 Char"/>
    <w:basedOn w:val="48"/>
    <w:link w:val="2"/>
    <w:qFormat/>
    <w:uiPriority w:val="9"/>
    <w:rPr>
      <w:rFonts w:ascii="Calibri" w:hAnsi="Calibri" w:eastAsia="黑体" w:cs="Times New Roman"/>
      <w:b/>
      <w:bCs/>
      <w:kern w:val="44"/>
      <w:sz w:val="44"/>
      <w:szCs w:val="44"/>
    </w:rPr>
  </w:style>
  <w:style w:type="character" w:customStyle="1" w:styleId="58">
    <w:name w:val="标题 2 Char"/>
    <w:basedOn w:val="48"/>
    <w:link w:val="3"/>
    <w:qFormat/>
    <w:uiPriority w:val="9"/>
    <w:rPr>
      <w:rFonts w:ascii="Arial" w:hAnsi="Arial" w:eastAsia="黑体" w:cs="Times New Roman"/>
      <w:b/>
      <w:bCs/>
      <w:kern w:val="0"/>
      <w:sz w:val="28"/>
      <w:szCs w:val="32"/>
    </w:rPr>
  </w:style>
  <w:style w:type="character" w:customStyle="1" w:styleId="59">
    <w:name w:val="标题 3 Char"/>
    <w:basedOn w:val="48"/>
    <w:link w:val="4"/>
    <w:qFormat/>
    <w:uiPriority w:val="0"/>
    <w:rPr>
      <w:rFonts w:ascii="Calibri" w:hAnsi="Calibri" w:eastAsia="宋体" w:cs="Times New Roman"/>
      <w:b/>
      <w:bCs/>
      <w:kern w:val="0"/>
      <w:sz w:val="32"/>
      <w:szCs w:val="32"/>
    </w:rPr>
  </w:style>
  <w:style w:type="character" w:customStyle="1" w:styleId="60">
    <w:name w:val="标题 4 Char"/>
    <w:basedOn w:val="48"/>
    <w:link w:val="5"/>
    <w:qFormat/>
    <w:uiPriority w:val="0"/>
    <w:rPr>
      <w:rFonts w:ascii="Cambria" w:hAnsi="Cambria" w:eastAsia="宋体" w:cs="Times New Roman"/>
      <w:b/>
      <w:bCs/>
      <w:kern w:val="0"/>
      <w:sz w:val="28"/>
      <w:szCs w:val="28"/>
    </w:rPr>
  </w:style>
  <w:style w:type="character" w:customStyle="1" w:styleId="61">
    <w:name w:val="标题 5 Char"/>
    <w:basedOn w:val="48"/>
    <w:link w:val="6"/>
    <w:qFormat/>
    <w:uiPriority w:val="0"/>
    <w:rPr>
      <w:rFonts w:ascii="Times New Roman" w:hAnsi="Times New Roman" w:eastAsia="黑体" w:cs="Times New Roman"/>
      <w:bCs/>
      <w:sz w:val="24"/>
      <w:szCs w:val="28"/>
    </w:rPr>
  </w:style>
  <w:style w:type="character" w:customStyle="1" w:styleId="62">
    <w:name w:val="标题 6 Char"/>
    <w:basedOn w:val="48"/>
    <w:link w:val="7"/>
    <w:qFormat/>
    <w:uiPriority w:val="0"/>
    <w:rPr>
      <w:rFonts w:ascii="Arial" w:hAnsi="Arial" w:eastAsia="黑体" w:cs="Times New Roman"/>
      <w:bCs/>
      <w:szCs w:val="24"/>
    </w:rPr>
  </w:style>
  <w:style w:type="character" w:customStyle="1" w:styleId="63">
    <w:name w:val="标题 7 Char"/>
    <w:basedOn w:val="48"/>
    <w:link w:val="8"/>
    <w:qFormat/>
    <w:uiPriority w:val="0"/>
    <w:rPr>
      <w:rFonts w:ascii="Times New Roman" w:hAnsi="Times New Roman" w:eastAsia="宋体" w:cs="Times New Roman"/>
      <w:b/>
      <w:bCs/>
      <w:sz w:val="24"/>
      <w:szCs w:val="24"/>
    </w:rPr>
  </w:style>
  <w:style w:type="character" w:customStyle="1" w:styleId="64">
    <w:name w:val="标题 8 Char"/>
    <w:basedOn w:val="48"/>
    <w:link w:val="9"/>
    <w:qFormat/>
    <w:uiPriority w:val="0"/>
    <w:rPr>
      <w:rFonts w:ascii="Arial" w:hAnsi="Arial" w:eastAsia="黑体" w:cs="Times New Roman"/>
      <w:sz w:val="24"/>
      <w:szCs w:val="24"/>
    </w:rPr>
  </w:style>
  <w:style w:type="character" w:customStyle="1" w:styleId="65">
    <w:name w:val="标题 9 Char"/>
    <w:basedOn w:val="48"/>
    <w:link w:val="10"/>
    <w:qFormat/>
    <w:uiPriority w:val="0"/>
    <w:rPr>
      <w:rFonts w:ascii="Arial" w:hAnsi="Arial" w:eastAsia="黑体" w:cs="Times New Roman"/>
      <w:szCs w:val="21"/>
    </w:rPr>
  </w:style>
  <w:style w:type="character" w:customStyle="1" w:styleId="66">
    <w:name w:val="正文缩进 Char"/>
    <w:link w:val="15"/>
    <w:qFormat/>
    <w:uiPriority w:val="0"/>
  </w:style>
  <w:style w:type="character" w:customStyle="1" w:styleId="67">
    <w:name w:val="font21"/>
    <w:qFormat/>
    <w:uiPriority w:val="0"/>
    <w:rPr>
      <w:rFonts w:hint="eastAsia" w:ascii="宋体" w:hAnsi="宋体" w:eastAsia="宋体" w:cs="宋体"/>
      <w:color w:val="FF0000"/>
      <w:sz w:val="20"/>
      <w:szCs w:val="20"/>
      <w:u w:val="none"/>
    </w:rPr>
  </w:style>
  <w:style w:type="character" w:customStyle="1" w:styleId="68">
    <w:name w:val="tx1"/>
    <w:qFormat/>
    <w:uiPriority w:val="0"/>
    <w:rPr>
      <w:b/>
      <w:bCs/>
    </w:rPr>
  </w:style>
  <w:style w:type="character" w:customStyle="1" w:styleId="69">
    <w:name w:val="正文文本 3 Char"/>
    <w:link w:val="19"/>
    <w:qFormat/>
    <w:uiPriority w:val="0"/>
    <w:rPr>
      <w:rFonts w:ascii="Times New Roman" w:hAnsi="Times New Roman"/>
      <w:color w:val="FF0000"/>
      <w:sz w:val="24"/>
      <w:szCs w:val="24"/>
    </w:rPr>
  </w:style>
  <w:style w:type="character" w:customStyle="1" w:styleId="70">
    <w:name w:val="尾注文本 Char"/>
    <w:link w:val="29"/>
    <w:qFormat/>
    <w:uiPriority w:val="99"/>
  </w:style>
  <w:style w:type="character" w:customStyle="1" w:styleId="71">
    <w:name w:val="批注主题 Char"/>
    <w:link w:val="11"/>
    <w:qFormat/>
    <w:uiPriority w:val="99"/>
    <w:rPr>
      <w:b/>
      <w:bCs/>
    </w:rPr>
  </w:style>
  <w:style w:type="character" w:customStyle="1" w:styleId="72">
    <w:name w:val="apple-converted-space"/>
    <w:basedOn w:val="48"/>
    <w:qFormat/>
    <w:uiPriority w:val="0"/>
  </w:style>
  <w:style w:type="character" w:customStyle="1" w:styleId="73">
    <w:name w:val="b1"/>
    <w:qFormat/>
    <w:uiPriority w:val="0"/>
    <w:rPr>
      <w:rFonts w:hint="default" w:ascii="Courier New" w:hAnsi="Courier New" w:cs="楷体_GB2312"/>
      <w:b/>
      <w:bCs/>
      <w:color w:val="FF0000"/>
      <w:u w:val="none"/>
    </w:rPr>
  </w:style>
  <w:style w:type="character" w:customStyle="1" w:styleId="74">
    <w:name w:val="正文首行缩进 Char1"/>
    <w:qFormat/>
    <w:uiPriority w:val="0"/>
    <w:rPr>
      <w:rFonts w:ascii="Times New Roman" w:hAnsi="Times New Roman" w:eastAsia="宋体" w:cs="Times New Roman"/>
      <w:szCs w:val="24"/>
    </w:rPr>
  </w:style>
  <w:style w:type="character" w:customStyle="1" w:styleId="75">
    <w:name w:val="页脚 Char"/>
    <w:link w:val="31"/>
    <w:qFormat/>
    <w:uiPriority w:val="99"/>
    <w:rPr>
      <w:sz w:val="18"/>
      <w:szCs w:val="18"/>
    </w:rPr>
  </w:style>
  <w:style w:type="character" w:customStyle="1" w:styleId="76">
    <w:name w:val="正文首行缩进 Char"/>
    <w:link w:val="14"/>
    <w:qFormat/>
    <w:uiPriority w:val="0"/>
    <w:rPr>
      <w:rFonts w:ascii="Times New Roman" w:hAnsi="Times New Roman"/>
      <w:szCs w:val="24"/>
    </w:rPr>
  </w:style>
  <w:style w:type="character" w:customStyle="1" w:styleId="77">
    <w:name w:val="font31"/>
    <w:qFormat/>
    <w:uiPriority w:val="0"/>
    <w:rPr>
      <w:rFonts w:hint="eastAsia" w:ascii="宋体" w:hAnsi="宋体" w:eastAsia="宋体" w:cs="宋体"/>
      <w:color w:val="000000"/>
      <w:sz w:val="20"/>
      <w:szCs w:val="20"/>
      <w:u w:val="none"/>
    </w:rPr>
  </w:style>
  <w:style w:type="character" w:customStyle="1" w:styleId="78">
    <w:name w:val="正文文本 Char1"/>
    <w:semiHidden/>
    <w:qFormat/>
    <w:uiPriority w:val="99"/>
    <w:rPr>
      <w:rFonts w:ascii="Calibri" w:hAnsi="Calibri" w:eastAsia="宋体" w:cs="Times New Roman"/>
    </w:rPr>
  </w:style>
  <w:style w:type="character" w:customStyle="1" w:styleId="79">
    <w:name w:val="表格英文 Char"/>
    <w:link w:val="80"/>
    <w:qFormat/>
    <w:uiPriority w:val="0"/>
    <w:rPr>
      <w:rFonts w:ascii="Verdana" w:hAnsi="Verdana"/>
      <w:bCs/>
      <w:sz w:val="18"/>
      <w:szCs w:val="18"/>
    </w:rPr>
  </w:style>
  <w:style w:type="paragraph" w:customStyle="1" w:styleId="80">
    <w:name w:val="表格英文"/>
    <w:basedOn w:val="81"/>
    <w:link w:val="79"/>
    <w:qFormat/>
    <w:uiPriority w:val="0"/>
  </w:style>
  <w:style w:type="paragraph" w:customStyle="1" w:styleId="81">
    <w:name w:val="表格中文"/>
    <w:link w:val="101"/>
    <w:qFormat/>
    <w:uiPriority w:val="0"/>
    <w:pPr>
      <w:spacing w:line="240" w:lineRule="atLeast"/>
    </w:pPr>
    <w:rPr>
      <w:rFonts w:ascii="Verdana" w:hAnsi="Verdana" w:eastAsiaTheme="minorEastAsia" w:cstheme="minorBidi"/>
      <w:bCs/>
      <w:kern w:val="2"/>
      <w:sz w:val="18"/>
      <w:szCs w:val="18"/>
      <w:lang w:val="en-US" w:eastAsia="zh-CN" w:bidi="ar-SA"/>
    </w:rPr>
  </w:style>
  <w:style w:type="character" w:customStyle="1" w:styleId="82">
    <w:name w:val="m1"/>
    <w:qFormat/>
    <w:uiPriority w:val="0"/>
    <w:rPr>
      <w:color w:val="0000FF"/>
    </w:rPr>
  </w:style>
  <w:style w:type="character" w:customStyle="1" w:styleId="83">
    <w:name w:val="正文文本缩进 3 Char"/>
    <w:link w:val="40"/>
    <w:qFormat/>
    <w:uiPriority w:val="0"/>
    <w:rPr>
      <w:rFonts w:ascii="Times New Roman" w:hAnsi="Times New Roman"/>
      <w:b/>
      <w:i/>
      <w:color w:val="000000"/>
      <w:szCs w:val="24"/>
      <w:u w:val="single"/>
    </w:rPr>
  </w:style>
  <w:style w:type="character" w:customStyle="1" w:styleId="84">
    <w:name w:val="页眉 Char"/>
    <w:link w:val="33"/>
    <w:qFormat/>
    <w:uiPriority w:val="99"/>
    <w:rPr>
      <w:sz w:val="18"/>
      <w:szCs w:val="18"/>
    </w:rPr>
  </w:style>
  <w:style w:type="character" w:customStyle="1" w:styleId="85">
    <w:name w:val="font11"/>
    <w:qFormat/>
    <w:uiPriority w:val="0"/>
    <w:rPr>
      <w:rFonts w:hint="eastAsia" w:ascii="宋体" w:hAnsi="宋体" w:eastAsia="宋体" w:cs="宋体"/>
      <w:color w:val="000000"/>
      <w:sz w:val="20"/>
      <w:szCs w:val="20"/>
      <w:u w:val="none"/>
    </w:rPr>
  </w:style>
  <w:style w:type="character" w:customStyle="1" w:styleId="86">
    <w:name w:val="一级 Char"/>
    <w:link w:val="87"/>
    <w:qFormat/>
    <w:locked/>
    <w:uiPriority w:val="0"/>
    <w:rPr>
      <w:rFonts w:ascii="仿宋_GB2312" w:eastAsia="仿宋_GB2312"/>
      <w:b/>
      <w:bCs/>
      <w:kern w:val="44"/>
      <w:sz w:val="28"/>
      <w:szCs w:val="28"/>
    </w:rPr>
  </w:style>
  <w:style w:type="paragraph" w:customStyle="1" w:styleId="87">
    <w:name w:val="一级"/>
    <w:basedOn w:val="2"/>
    <w:link w:val="86"/>
    <w:qFormat/>
    <w:uiPriority w:val="0"/>
    <w:pPr>
      <w:numPr>
        <w:ilvl w:val="0"/>
        <w:numId w:val="1"/>
      </w:numPr>
      <w:tabs>
        <w:tab w:val="left" w:pos="567"/>
      </w:tabs>
    </w:pPr>
    <w:rPr>
      <w:rFonts w:ascii="仿宋_GB2312" w:eastAsia="仿宋_GB2312" w:hAnsiTheme="minorHAnsi" w:cstheme="minorBidi"/>
      <w:sz w:val="28"/>
      <w:szCs w:val="28"/>
    </w:rPr>
  </w:style>
  <w:style w:type="character" w:customStyle="1" w:styleId="88">
    <w:name w:val="列出段落 Char"/>
    <w:link w:val="89"/>
    <w:qFormat/>
    <w:uiPriority w:val="99"/>
  </w:style>
  <w:style w:type="paragraph" w:customStyle="1" w:styleId="89">
    <w:name w:val="列出段落1"/>
    <w:basedOn w:val="1"/>
    <w:link w:val="88"/>
    <w:qFormat/>
    <w:uiPriority w:val="34"/>
    <w:pPr>
      <w:ind w:firstLine="420" w:firstLineChars="200"/>
    </w:pPr>
  </w:style>
  <w:style w:type="character" w:customStyle="1" w:styleId="90">
    <w:name w:val="pi1"/>
    <w:qFormat/>
    <w:uiPriority w:val="0"/>
    <w:rPr>
      <w:color w:val="0000FF"/>
    </w:rPr>
  </w:style>
  <w:style w:type="character" w:customStyle="1" w:styleId="91">
    <w:name w:val="标题 Char1"/>
    <w:qFormat/>
    <w:uiPriority w:val="10"/>
    <w:rPr>
      <w:rFonts w:ascii="Cambria" w:hAnsi="Cambria" w:cs="Times New Roman"/>
      <w:b/>
      <w:bCs/>
      <w:kern w:val="2"/>
      <w:sz w:val="32"/>
      <w:szCs w:val="32"/>
    </w:rPr>
  </w:style>
  <w:style w:type="character" w:customStyle="1" w:styleId="92">
    <w:name w:val="正文文本 Char"/>
    <w:link w:val="20"/>
    <w:qFormat/>
    <w:uiPriority w:val="0"/>
    <w:rPr>
      <w:sz w:val="24"/>
      <w:szCs w:val="24"/>
    </w:rPr>
  </w:style>
  <w:style w:type="character" w:customStyle="1" w:styleId="93">
    <w:name w:val="正文文本 2 Char"/>
    <w:link w:val="43"/>
    <w:qFormat/>
    <w:uiPriority w:val="0"/>
    <w:rPr>
      <w:rFonts w:ascii="Times New Roman" w:hAnsi="Times New Roman"/>
      <w:color w:val="000000"/>
      <w:szCs w:val="24"/>
    </w:rPr>
  </w:style>
  <w:style w:type="character" w:customStyle="1" w:styleId="94">
    <w:name w:val="标题 Char"/>
    <w:link w:val="47"/>
    <w:qFormat/>
    <w:uiPriority w:val="10"/>
    <w:rPr>
      <w:rFonts w:ascii="Cambria" w:hAnsi="Cambria"/>
      <w:b/>
      <w:bCs/>
      <w:sz w:val="32"/>
      <w:szCs w:val="32"/>
    </w:rPr>
  </w:style>
  <w:style w:type="character" w:customStyle="1" w:styleId="95">
    <w:name w:val="stylecontent1"/>
    <w:qFormat/>
    <w:uiPriority w:val="0"/>
    <w:rPr>
      <w:rFonts w:hint="default" w:ascii="Arial" w:hAnsi="Arial" w:cs="Arial"/>
      <w:color w:val="000000"/>
      <w:sz w:val="21"/>
      <w:szCs w:val="21"/>
    </w:rPr>
  </w:style>
  <w:style w:type="character" w:customStyle="1" w:styleId="96">
    <w:name w:val="批注文字 Char"/>
    <w:qFormat/>
    <w:uiPriority w:val="99"/>
    <w:rPr>
      <w:kern w:val="2"/>
      <w:sz w:val="21"/>
      <w:szCs w:val="22"/>
    </w:rPr>
  </w:style>
  <w:style w:type="character" w:customStyle="1" w:styleId="97">
    <w:name w:val="批注框文本 Char"/>
    <w:link w:val="30"/>
    <w:qFormat/>
    <w:uiPriority w:val="99"/>
    <w:rPr>
      <w:sz w:val="18"/>
      <w:szCs w:val="18"/>
    </w:rPr>
  </w:style>
  <w:style w:type="character" w:customStyle="1" w:styleId="98">
    <w:name w:val="正文文本缩进 2 Char"/>
    <w:link w:val="28"/>
    <w:qFormat/>
    <w:uiPriority w:val="99"/>
  </w:style>
  <w:style w:type="character" w:customStyle="1" w:styleId="99">
    <w:name w:val="日期 Char"/>
    <w:link w:val="27"/>
    <w:qFormat/>
    <w:uiPriority w:val="0"/>
    <w:rPr>
      <w:rFonts w:ascii="Times New Roman" w:hAnsi="Times New Roman" w:eastAsia="幼圆"/>
      <w:sz w:val="28"/>
    </w:rPr>
  </w:style>
  <w:style w:type="character" w:customStyle="1" w:styleId="100">
    <w:name w:val="正文文本缩进 Char"/>
    <w:link w:val="21"/>
    <w:qFormat/>
    <w:uiPriority w:val="0"/>
    <w:rPr>
      <w:rFonts w:ascii="仿宋_GB2312" w:hAnsi="Times New Roman" w:eastAsia="仿宋_GB2312"/>
      <w:sz w:val="28"/>
      <w:szCs w:val="24"/>
    </w:rPr>
  </w:style>
  <w:style w:type="character" w:customStyle="1" w:styleId="101">
    <w:name w:val="表格中文 Char"/>
    <w:link w:val="81"/>
    <w:qFormat/>
    <w:uiPriority w:val="0"/>
    <w:rPr>
      <w:rFonts w:ascii="Verdana" w:hAnsi="Verdana"/>
      <w:bCs/>
      <w:sz w:val="18"/>
      <w:szCs w:val="18"/>
    </w:rPr>
  </w:style>
  <w:style w:type="character" w:customStyle="1" w:styleId="102">
    <w:name w:val="纯文本 Char"/>
    <w:link w:val="25"/>
    <w:qFormat/>
    <w:uiPriority w:val="0"/>
    <w:rPr>
      <w:rFonts w:ascii="宋体" w:hAnsi="Courier New"/>
    </w:rPr>
  </w:style>
  <w:style w:type="character" w:customStyle="1" w:styleId="103">
    <w:name w:val="纯文本 Char1"/>
    <w:semiHidden/>
    <w:qFormat/>
    <w:uiPriority w:val="99"/>
    <w:rPr>
      <w:rFonts w:ascii="宋体" w:hAnsi="Courier New" w:eastAsia="宋体" w:cs="Courier New"/>
      <w:szCs w:val="21"/>
    </w:rPr>
  </w:style>
  <w:style w:type="character" w:customStyle="1" w:styleId="104">
    <w:name w:val="t1"/>
    <w:qFormat/>
    <w:uiPriority w:val="0"/>
    <w:rPr>
      <w:color w:val="990000"/>
    </w:rPr>
  </w:style>
  <w:style w:type="character" w:customStyle="1" w:styleId="105">
    <w:name w:val="Char Char17"/>
    <w:qFormat/>
    <w:uiPriority w:val="0"/>
    <w:rPr>
      <w:rFonts w:ascii="Arial" w:hAnsi="Arial" w:eastAsia="黑体"/>
      <w:b/>
      <w:bCs/>
      <w:kern w:val="2"/>
      <w:sz w:val="32"/>
      <w:szCs w:val="32"/>
      <w:lang w:val="en-US" w:eastAsia="zh-CN" w:bidi="ar-SA"/>
    </w:rPr>
  </w:style>
  <w:style w:type="character" w:customStyle="1" w:styleId="106">
    <w:name w:val="编号1 Char Char"/>
    <w:link w:val="107"/>
    <w:qFormat/>
    <w:uiPriority w:val="0"/>
    <w:rPr>
      <w:rFonts w:ascii="Times New Roman" w:hAnsi="Times New Roman"/>
      <w:sz w:val="24"/>
      <w:szCs w:val="24"/>
    </w:rPr>
  </w:style>
  <w:style w:type="paragraph" w:customStyle="1" w:styleId="107">
    <w:name w:val="编号1"/>
    <w:basedOn w:val="1"/>
    <w:link w:val="106"/>
    <w:qFormat/>
    <w:uiPriority w:val="0"/>
    <w:pPr>
      <w:tabs>
        <w:tab w:val="left" w:pos="720"/>
        <w:tab w:val="left" w:pos="993"/>
      </w:tabs>
      <w:spacing w:afterLines="30" w:line="288" w:lineRule="auto"/>
      <w:ind w:firstLine="360" w:firstLineChars="150"/>
    </w:pPr>
    <w:rPr>
      <w:rFonts w:ascii="Times New Roman" w:hAnsi="Times New Roman"/>
      <w:sz w:val="24"/>
      <w:szCs w:val="24"/>
    </w:rPr>
  </w:style>
  <w:style w:type="character" w:customStyle="1" w:styleId="108">
    <w:name w:val="表格中正文 Char"/>
    <w:qFormat/>
    <w:uiPriority w:val="0"/>
    <w:rPr>
      <w:rFonts w:eastAsia="宋体"/>
      <w:sz w:val="21"/>
      <w:lang w:val="en-US" w:eastAsia="zh-CN" w:bidi="ar-SA"/>
    </w:rPr>
  </w:style>
  <w:style w:type="character" w:customStyle="1" w:styleId="109">
    <w:name w:val="正文文本缩进 Char1"/>
    <w:basedOn w:val="48"/>
    <w:semiHidden/>
    <w:qFormat/>
    <w:uiPriority w:val="99"/>
  </w:style>
  <w:style w:type="paragraph" w:customStyle="1" w:styleId="110">
    <w:name w:val="01 parapoint"/>
    <w:basedOn w:val="1"/>
    <w:qFormat/>
    <w:uiPriority w:val="0"/>
    <w:pPr>
      <w:widowControl/>
      <w:numPr>
        <w:ilvl w:val="0"/>
        <w:numId w:val="2"/>
      </w:numPr>
      <w:spacing w:after="180"/>
      <w:jc w:val="left"/>
    </w:pPr>
    <w:rPr>
      <w:rFonts w:ascii="Times New Roman" w:hAnsi="Times New Roman" w:eastAsia="宋体" w:cs="Times New Roman"/>
      <w:kern w:val="0"/>
      <w:sz w:val="24"/>
      <w:szCs w:val="20"/>
      <w:lang w:eastAsia="en-US"/>
    </w:rPr>
  </w:style>
  <w:style w:type="paragraph" w:customStyle="1" w:styleId="111">
    <w:name w:val="xl7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eastAsia="宋体" w:cs="宋体"/>
      <w:kern w:val="0"/>
      <w:sz w:val="24"/>
      <w:szCs w:val="24"/>
    </w:rPr>
  </w:style>
  <w:style w:type="character" w:customStyle="1" w:styleId="112">
    <w:name w:val="页脚 Char1"/>
    <w:basedOn w:val="48"/>
    <w:semiHidden/>
    <w:qFormat/>
    <w:uiPriority w:val="99"/>
    <w:rPr>
      <w:sz w:val="18"/>
      <w:szCs w:val="18"/>
    </w:rPr>
  </w:style>
  <w:style w:type="character" w:customStyle="1" w:styleId="113">
    <w:name w:val="正文文本缩进 2 Char1"/>
    <w:basedOn w:val="48"/>
    <w:semiHidden/>
    <w:qFormat/>
    <w:uiPriority w:val="99"/>
  </w:style>
  <w:style w:type="character" w:customStyle="1" w:styleId="114">
    <w:name w:val="正文文本 3 Char1"/>
    <w:basedOn w:val="48"/>
    <w:semiHidden/>
    <w:qFormat/>
    <w:uiPriority w:val="99"/>
    <w:rPr>
      <w:sz w:val="16"/>
      <w:szCs w:val="16"/>
    </w:rPr>
  </w:style>
  <w:style w:type="character" w:customStyle="1" w:styleId="115">
    <w:name w:val="正文文本缩进 3 Char1"/>
    <w:basedOn w:val="48"/>
    <w:semiHidden/>
    <w:qFormat/>
    <w:uiPriority w:val="99"/>
    <w:rPr>
      <w:sz w:val="16"/>
      <w:szCs w:val="16"/>
    </w:rPr>
  </w:style>
  <w:style w:type="paragraph" w:customStyle="1" w:styleId="116">
    <w:name w:val="正文首行缩进1"/>
    <w:basedOn w:val="15"/>
    <w:qFormat/>
    <w:uiPriority w:val="0"/>
    <w:pPr>
      <w:spacing w:line="360" w:lineRule="auto"/>
      <w:ind w:firstLine="200"/>
    </w:pPr>
    <w:rPr>
      <w:rFonts w:ascii="仿宋_GB2312" w:hAnsi="Verdana" w:eastAsia="仿宋_GB2312"/>
      <w:kern w:val="0"/>
      <w:sz w:val="20"/>
      <w:szCs w:val="20"/>
    </w:rPr>
  </w:style>
  <w:style w:type="paragraph" w:customStyle="1" w:styleId="117">
    <w:name w:val="xl8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character" w:customStyle="1" w:styleId="118">
    <w:name w:val="正文文本 Char2"/>
    <w:basedOn w:val="48"/>
    <w:semiHidden/>
    <w:qFormat/>
    <w:uiPriority w:val="99"/>
  </w:style>
  <w:style w:type="character" w:customStyle="1" w:styleId="119">
    <w:name w:val="批注框文本 Char1"/>
    <w:basedOn w:val="48"/>
    <w:semiHidden/>
    <w:qFormat/>
    <w:uiPriority w:val="99"/>
    <w:rPr>
      <w:sz w:val="18"/>
      <w:szCs w:val="18"/>
    </w:rPr>
  </w:style>
  <w:style w:type="character" w:customStyle="1" w:styleId="120">
    <w:name w:val="批注文字 Char1"/>
    <w:basedOn w:val="48"/>
    <w:link w:val="12"/>
    <w:qFormat/>
    <w:uiPriority w:val="99"/>
  </w:style>
  <w:style w:type="character" w:customStyle="1" w:styleId="121">
    <w:name w:val="批注主题 Char1"/>
    <w:basedOn w:val="120"/>
    <w:semiHidden/>
    <w:qFormat/>
    <w:uiPriority w:val="99"/>
    <w:rPr>
      <w:b/>
      <w:bCs/>
    </w:rPr>
  </w:style>
  <w:style w:type="character" w:customStyle="1" w:styleId="122">
    <w:name w:val="文档结构图 Char"/>
    <w:basedOn w:val="48"/>
    <w:link w:val="17"/>
    <w:semiHidden/>
    <w:qFormat/>
    <w:uiPriority w:val="0"/>
    <w:rPr>
      <w:rFonts w:ascii="Times New Roman" w:hAnsi="Times New Roman" w:eastAsia="宋体" w:cs="Times New Roman"/>
      <w:shd w:val="clear" w:color="auto" w:fill="000080"/>
    </w:rPr>
  </w:style>
  <w:style w:type="character" w:customStyle="1" w:styleId="123">
    <w:name w:val="页眉 Char1"/>
    <w:basedOn w:val="48"/>
    <w:semiHidden/>
    <w:qFormat/>
    <w:uiPriority w:val="99"/>
    <w:rPr>
      <w:sz w:val="18"/>
      <w:szCs w:val="18"/>
    </w:rPr>
  </w:style>
  <w:style w:type="character" w:customStyle="1" w:styleId="124">
    <w:name w:val="日期 Char1"/>
    <w:basedOn w:val="48"/>
    <w:semiHidden/>
    <w:qFormat/>
    <w:uiPriority w:val="99"/>
  </w:style>
  <w:style w:type="paragraph" w:customStyle="1" w:styleId="125">
    <w:name w:val="xl86"/>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kern w:val="0"/>
      <w:sz w:val="24"/>
      <w:szCs w:val="24"/>
    </w:rPr>
  </w:style>
  <w:style w:type="character" w:customStyle="1" w:styleId="126">
    <w:name w:val="标题 Char2"/>
    <w:basedOn w:val="48"/>
    <w:qFormat/>
    <w:uiPriority w:val="10"/>
    <w:rPr>
      <w:rFonts w:eastAsia="宋体" w:asciiTheme="majorHAnsi" w:hAnsiTheme="majorHAnsi" w:cstheme="majorBidi"/>
      <w:b/>
      <w:bCs/>
      <w:sz w:val="32"/>
      <w:szCs w:val="32"/>
    </w:rPr>
  </w:style>
  <w:style w:type="character" w:customStyle="1" w:styleId="127">
    <w:name w:val="正文首行缩进 2 Char"/>
    <w:basedOn w:val="109"/>
    <w:link w:val="32"/>
    <w:qFormat/>
    <w:uiPriority w:val="99"/>
    <w:rPr>
      <w:rFonts w:ascii="仿宋_GB2312" w:hAnsi="Times New Roman" w:eastAsia="仿宋_GB2312"/>
      <w:sz w:val="28"/>
      <w:szCs w:val="24"/>
    </w:rPr>
  </w:style>
  <w:style w:type="character" w:customStyle="1" w:styleId="128">
    <w:name w:val="纯文本 Char2"/>
    <w:basedOn w:val="48"/>
    <w:semiHidden/>
    <w:qFormat/>
    <w:uiPriority w:val="99"/>
    <w:rPr>
      <w:rFonts w:ascii="宋体" w:hAnsi="Courier New" w:eastAsia="宋体" w:cs="Courier New"/>
      <w:szCs w:val="21"/>
    </w:rPr>
  </w:style>
  <w:style w:type="paragraph" w:customStyle="1" w:styleId="129">
    <w:name w:val="xl9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character" w:customStyle="1" w:styleId="130">
    <w:name w:val="HTML 预设格式 Char"/>
    <w:basedOn w:val="48"/>
    <w:link w:val="45"/>
    <w:qFormat/>
    <w:uiPriority w:val="99"/>
    <w:rPr>
      <w:rFonts w:ascii="宋体" w:hAnsi="宋体" w:eastAsia="宋体" w:cs="宋体"/>
      <w:kern w:val="0"/>
      <w:sz w:val="24"/>
      <w:szCs w:val="24"/>
    </w:rPr>
  </w:style>
  <w:style w:type="character" w:customStyle="1" w:styleId="131">
    <w:name w:val="正文首行缩进 Char2"/>
    <w:basedOn w:val="118"/>
    <w:semiHidden/>
    <w:qFormat/>
    <w:uiPriority w:val="99"/>
  </w:style>
  <w:style w:type="character" w:customStyle="1" w:styleId="132">
    <w:name w:val="正文文本 2 Char1"/>
    <w:basedOn w:val="48"/>
    <w:semiHidden/>
    <w:qFormat/>
    <w:uiPriority w:val="99"/>
  </w:style>
  <w:style w:type="character" w:customStyle="1" w:styleId="133">
    <w:name w:val="尾注文本 Char1"/>
    <w:basedOn w:val="48"/>
    <w:semiHidden/>
    <w:qFormat/>
    <w:uiPriority w:val="99"/>
  </w:style>
  <w:style w:type="paragraph" w:customStyle="1" w:styleId="134">
    <w:name w:val="xl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eastAsia="宋体" w:cs="宋体"/>
      <w:kern w:val="0"/>
      <w:sz w:val="24"/>
      <w:szCs w:val="24"/>
    </w:rPr>
  </w:style>
  <w:style w:type="paragraph" w:customStyle="1" w:styleId="135">
    <w:name w:val="xl77"/>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kern w:val="0"/>
      <w:sz w:val="24"/>
      <w:szCs w:val="24"/>
    </w:rPr>
  </w:style>
  <w:style w:type="paragraph" w:customStyle="1" w:styleId="136">
    <w:name w:val="xl6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楷体" w:hAnsi="楷体" w:eastAsia="楷体" w:cs="宋体"/>
      <w:b/>
      <w:bCs/>
      <w:color w:val="000000"/>
      <w:kern w:val="0"/>
      <w:sz w:val="24"/>
      <w:szCs w:val="24"/>
    </w:rPr>
  </w:style>
  <w:style w:type="paragraph" w:customStyle="1" w:styleId="137">
    <w:name w:val="小圆点"/>
    <w:basedOn w:val="1"/>
    <w:qFormat/>
    <w:uiPriority w:val="0"/>
    <w:pPr>
      <w:numPr>
        <w:ilvl w:val="0"/>
        <w:numId w:val="3"/>
      </w:numPr>
      <w:snapToGrid w:val="0"/>
      <w:spacing w:line="300" w:lineRule="auto"/>
    </w:pPr>
    <w:rPr>
      <w:rFonts w:ascii="Times New Roman" w:hAnsi="Times New Roman" w:eastAsia="楷体_GB2312" w:cs="Times New Roman"/>
      <w:sz w:val="18"/>
      <w:szCs w:val="20"/>
    </w:rPr>
  </w:style>
  <w:style w:type="paragraph" w:customStyle="1" w:styleId="138">
    <w:name w:val="xl102"/>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kern w:val="0"/>
      <w:sz w:val="24"/>
      <w:szCs w:val="24"/>
    </w:rPr>
  </w:style>
  <w:style w:type="paragraph" w:customStyle="1" w:styleId="139">
    <w:name w:val="正文 A"/>
    <w:qFormat/>
    <w:uiPriority w:val="0"/>
    <w:pPr>
      <w:widowControl w:val="0"/>
      <w:pBdr>
        <w:top w:val="none" w:color="FFFFFF" w:sz="0" w:space="31"/>
        <w:left w:val="none" w:color="FFFFFF" w:sz="0" w:space="31"/>
        <w:bottom w:val="none" w:color="FFFFFF" w:sz="0" w:space="31"/>
        <w:right w:val="none" w:color="FFFFFF" w:sz="0" w:space="31"/>
      </w:pBdr>
      <w:jc w:val="both"/>
    </w:pPr>
    <w:rPr>
      <w:rFonts w:ascii="Arial Unicode MS" w:hAnsi="Arial Unicode MS" w:eastAsia="Arial Unicode MS" w:cs="Arial Unicode MS"/>
      <w:color w:val="000000"/>
      <w:sz w:val="22"/>
      <w:szCs w:val="22"/>
      <w:u w:color="000000"/>
      <w:lang w:val="zh-TW" w:eastAsia="zh-TW" w:bidi="ar-SA"/>
    </w:rPr>
  </w:style>
  <w:style w:type="paragraph" w:customStyle="1" w:styleId="140">
    <w:name w:val="Table Paragraph"/>
    <w:basedOn w:val="1"/>
    <w:qFormat/>
    <w:uiPriority w:val="0"/>
    <w:pPr>
      <w:autoSpaceDE w:val="0"/>
      <w:autoSpaceDN w:val="0"/>
      <w:adjustRightInd w:val="0"/>
      <w:jc w:val="left"/>
    </w:pPr>
    <w:rPr>
      <w:rFonts w:ascii="Times New Roman" w:hAnsi="Times New Roman" w:eastAsia="宋体" w:cs="Times New Roman"/>
      <w:kern w:val="0"/>
      <w:sz w:val="24"/>
      <w:szCs w:val="24"/>
    </w:rPr>
  </w:style>
  <w:style w:type="paragraph" w:customStyle="1" w:styleId="141">
    <w:name w:val="表格内正文"/>
    <w:qFormat/>
    <w:uiPriority w:val="0"/>
    <w:pPr>
      <w:widowControl w:val="0"/>
      <w:adjustRightInd w:val="0"/>
      <w:spacing w:line="240" w:lineRule="atLeast"/>
      <w:jc w:val="both"/>
      <w:textAlignment w:val="baseline"/>
    </w:pPr>
    <w:rPr>
      <w:rFonts w:ascii="Times New Roman" w:hAnsi="Times New Roman" w:eastAsia="宋体" w:cs="Times New Roman"/>
      <w:sz w:val="21"/>
      <w:szCs w:val="21"/>
      <w:lang w:val="en-US" w:eastAsia="zh-CN" w:bidi="ar-SA"/>
    </w:rPr>
  </w:style>
  <w:style w:type="paragraph" w:customStyle="1" w:styleId="142">
    <w:name w:val="xl91"/>
    <w:basedOn w:val="1"/>
    <w:qFormat/>
    <w:uiPriority w:val="0"/>
    <w:pPr>
      <w:widowControl/>
      <w:pBdr>
        <w:left w:val="single" w:color="auto" w:sz="4" w:space="0"/>
        <w:right w:val="single" w:color="auto" w:sz="4" w:space="0"/>
      </w:pBdr>
      <w:shd w:val="clear" w:color="000000" w:fill="FFFFFF"/>
      <w:spacing w:before="100" w:beforeAutospacing="1" w:after="100" w:afterAutospacing="1"/>
      <w:jc w:val="center"/>
      <w:textAlignment w:val="center"/>
    </w:pPr>
    <w:rPr>
      <w:rFonts w:ascii="楷体" w:hAnsi="楷体" w:eastAsia="楷体" w:cs="宋体"/>
      <w:kern w:val="0"/>
      <w:sz w:val="24"/>
      <w:szCs w:val="24"/>
    </w:rPr>
  </w:style>
  <w:style w:type="paragraph" w:customStyle="1" w:styleId="143">
    <w:name w:val="图片居中"/>
    <w:basedOn w:val="1"/>
    <w:next w:val="14"/>
    <w:qFormat/>
    <w:uiPriority w:val="0"/>
    <w:pPr>
      <w:ind w:left="-1080" w:leftChars="-450" w:right="-1234" w:rightChars="-514"/>
      <w:jc w:val="center"/>
    </w:pPr>
    <w:rPr>
      <w:rFonts w:ascii="Times New Roman" w:hAnsi="Times New Roman" w:eastAsia="宋体" w:cs="Times New Roman"/>
      <w:sz w:val="24"/>
      <w:szCs w:val="24"/>
    </w:rPr>
  </w:style>
  <w:style w:type="paragraph" w:customStyle="1" w:styleId="144">
    <w:name w:val="编号3"/>
    <w:basedOn w:val="1"/>
    <w:qFormat/>
    <w:uiPriority w:val="0"/>
    <w:pPr>
      <w:tabs>
        <w:tab w:val="left" w:pos="1260"/>
      </w:tabs>
      <w:spacing w:afterLines="30" w:line="288" w:lineRule="auto"/>
      <w:ind w:left="1260" w:hanging="693"/>
    </w:pPr>
    <w:rPr>
      <w:rFonts w:ascii="Times New Roman" w:hAnsi="Times New Roman" w:eastAsia="宋体" w:cs="Times New Roman"/>
      <w:bCs/>
      <w:sz w:val="24"/>
      <w:szCs w:val="24"/>
    </w:rPr>
  </w:style>
  <w:style w:type="paragraph" w:customStyle="1" w:styleId="145">
    <w:name w:val="表格文字+居中对齐"/>
    <w:basedOn w:val="1"/>
    <w:qFormat/>
    <w:uiPriority w:val="0"/>
    <w:pPr>
      <w:adjustRightInd w:val="0"/>
      <w:snapToGrid w:val="0"/>
      <w:jc w:val="center"/>
    </w:pPr>
    <w:rPr>
      <w:rFonts w:ascii="Times New Roman" w:hAnsi="Times New Roman" w:eastAsia="宋体" w:cs="Times New Roman"/>
      <w:sz w:val="24"/>
      <w:szCs w:val="24"/>
    </w:rPr>
  </w:style>
  <w:style w:type="paragraph" w:customStyle="1" w:styleId="146">
    <w:name w:val="xl89"/>
    <w:basedOn w:val="1"/>
    <w:qFormat/>
    <w:uiPriority w:val="0"/>
    <w:pPr>
      <w:widowControl/>
      <w:pBdr>
        <w:left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kern w:val="0"/>
      <w:sz w:val="24"/>
      <w:szCs w:val="24"/>
    </w:rPr>
  </w:style>
  <w:style w:type="paragraph" w:customStyle="1" w:styleId="147">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kern w:val="0"/>
      <w:sz w:val="24"/>
      <w:szCs w:val="24"/>
    </w:rPr>
  </w:style>
  <w:style w:type="paragraph" w:customStyle="1" w:styleId="148">
    <w:name w:val="xl8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kern w:val="0"/>
      <w:sz w:val="24"/>
      <w:szCs w:val="24"/>
    </w:rPr>
  </w:style>
  <w:style w:type="paragraph" w:customStyle="1" w:styleId="149">
    <w:name w:val="xl94"/>
    <w:basedOn w:val="1"/>
    <w:qFormat/>
    <w:uiPriority w:val="0"/>
    <w:pPr>
      <w:widowControl/>
      <w:pBdr>
        <w:left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kern w:val="0"/>
      <w:sz w:val="24"/>
      <w:szCs w:val="24"/>
    </w:rPr>
  </w:style>
  <w:style w:type="paragraph" w:customStyle="1" w:styleId="150">
    <w:name w:val="xl99"/>
    <w:basedOn w:val="1"/>
    <w:qFormat/>
    <w:uiPriority w:val="0"/>
    <w:pPr>
      <w:widowControl/>
      <w:pBdr>
        <w:left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kern w:val="0"/>
      <w:sz w:val="24"/>
      <w:szCs w:val="24"/>
    </w:rPr>
  </w:style>
  <w:style w:type="paragraph" w:customStyle="1" w:styleId="151">
    <w:name w:val="表格中正文"/>
    <w:qFormat/>
    <w:uiPriority w:val="0"/>
    <w:pPr>
      <w:widowControl w:val="0"/>
      <w:adjustRightInd w:val="0"/>
      <w:spacing w:before="60" w:after="60"/>
      <w:jc w:val="both"/>
      <w:textAlignment w:val="baseline"/>
    </w:pPr>
    <w:rPr>
      <w:rFonts w:ascii="Times New Roman" w:hAnsi="Times New Roman" w:eastAsia="宋体" w:cs="Times New Roman"/>
      <w:sz w:val="21"/>
      <w:lang w:val="en-US" w:eastAsia="zh-CN" w:bidi="ar-SA"/>
    </w:rPr>
  </w:style>
  <w:style w:type="paragraph" w:customStyle="1" w:styleId="152">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53">
    <w:name w:val="加粗正文"/>
    <w:basedOn w:val="14"/>
    <w:qFormat/>
    <w:uiPriority w:val="0"/>
    <w:pPr>
      <w:spacing w:afterLines="30" w:line="288" w:lineRule="auto"/>
      <w:ind w:firstLine="482" w:firstLineChars="200"/>
    </w:pPr>
    <w:rPr>
      <w:b/>
      <w:bCs/>
      <w:sz w:val="24"/>
    </w:rPr>
  </w:style>
  <w:style w:type="paragraph" w:customStyle="1" w:styleId="154">
    <w:name w:val="xl96"/>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eastAsia="宋体" w:cs="宋体"/>
      <w:kern w:val="0"/>
      <w:sz w:val="24"/>
      <w:szCs w:val="24"/>
    </w:rPr>
  </w:style>
  <w:style w:type="paragraph" w:customStyle="1" w:styleId="155">
    <w:name w:val="xl7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eastAsia="宋体" w:cs="宋体"/>
      <w:kern w:val="0"/>
      <w:sz w:val="24"/>
      <w:szCs w:val="24"/>
    </w:rPr>
  </w:style>
  <w:style w:type="paragraph" w:customStyle="1" w:styleId="156">
    <w:name w:val="l小标题"/>
    <w:next w:val="157"/>
    <w:qFormat/>
    <w:uiPriority w:val="0"/>
    <w:pPr>
      <w:spacing w:line="360" w:lineRule="auto"/>
    </w:pPr>
    <w:rPr>
      <w:rFonts w:ascii="Times New Roman" w:hAnsi="Times New Roman" w:eastAsia="宋体" w:cs="Times New Roman"/>
      <w:b/>
      <w:iCs/>
      <w:kern w:val="2"/>
      <w:sz w:val="22"/>
      <w:szCs w:val="22"/>
      <w:lang w:val="en-US" w:eastAsia="zh-CN" w:bidi="ar-SA"/>
    </w:rPr>
  </w:style>
  <w:style w:type="paragraph" w:customStyle="1" w:styleId="157">
    <w:name w:val="l正文"/>
    <w:qFormat/>
    <w:uiPriority w:val="0"/>
    <w:pPr>
      <w:spacing w:line="360" w:lineRule="auto"/>
      <w:ind w:firstLine="200" w:firstLineChars="200"/>
    </w:pPr>
    <w:rPr>
      <w:rFonts w:ascii="Times New Roman" w:hAnsi="Times New Roman" w:eastAsia="宋体" w:cs="Times New Roman"/>
      <w:kern w:val="2"/>
      <w:sz w:val="22"/>
      <w:szCs w:val="22"/>
      <w:lang w:val="en-US" w:eastAsia="zh-CN" w:bidi="ar-SA"/>
    </w:rPr>
  </w:style>
  <w:style w:type="paragraph" w:customStyle="1" w:styleId="158">
    <w:name w:val="表中正文"/>
    <w:qFormat/>
    <w:uiPriority w:val="0"/>
    <w:pPr>
      <w:widowControl w:val="0"/>
      <w:adjustRightInd w:val="0"/>
      <w:spacing w:line="260" w:lineRule="atLeast"/>
      <w:jc w:val="center"/>
      <w:textAlignment w:val="baseline"/>
    </w:pPr>
    <w:rPr>
      <w:rFonts w:ascii="Times New Roman" w:hAnsi="Times New Roman" w:eastAsia="宋体" w:cs="Times New Roman"/>
      <w:sz w:val="24"/>
      <w:lang w:val="en-US" w:eastAsia="zh-CN" w:bidi="ar-SA"/>
    </w:rPr>
  </w:style>
  <w:style w:type="paragraph" w:customStyle="1" w:styleId="159">
    <w:name w:val="表中文字"/>
    <w:qFormat/>
    <w:uiPriority w:val="0"/>
    <w:pPr>
      <w:widowControl w:val="0"/>
      <w:adjustRightInd w:val="0"/>
      <w:spacing w:before="60" w:after="60" w:line="240" w:lineRule="atLeast"/>
      <w:jc w:val="center"/>
      <w:textAlignment w:val="baseline"/>
    </w:pPr>
    <w:rPr>
      <w:rFonts w:ascii="宋体" w:hAnsi="Times New Roman" w:eastAsia="宋体" w:cs="Times New Roman"/>
      <w:sz w:val="28"/>
      <w:lang w:val="en-US" w:eastAsia="zh-CN" w:bidi="ar-SA"/>
    </w:rPr>
  </w:style>
  <w:style w:type="paragraph" w:customStyle="1" w:styleId="160">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楷体" w:hAnsi="楷体" w:eastAsia="楷体" w:cs="宋体"/>
      <w:kern w:val="0"/>
      <w:sz w:val="24"/>
      <w:szCs w:val="24"/>
    </w:rPr>
  </w:style>
  <w:style w:type="paragraph" w:customStyle="1" w:styleId="161">
    <w:name w:val="3"/>
    <w:basedOn w:val="1"/>
    <w:next w:val="22"/>
    <w:qFormat/>
    <w:uiPriority w:val="0"/>
    <w:pPr>
      <w:spacing w:line="360" w:lineRule="auto"/>
      <w:ind w:left="420" w:right="22" w:firstLine="480"/>
    </w:pPr>
    <w:rPr>
      <w:rFonts w:ascii="宋体" w:hAnsi="宋体" w:eastAsia="宋体" w:cs="Times New Roman"/>
      <w:szCs w:val="20"/>
    </w:rPr>
  </w:style>
  <w:style w:type="paragraph" w:customStyle="1" w:styleId="162">
    <w:name w:val="xl63"/>
    <w:basedOn w:val="1"/>
    <w:qFormat/>
    <w:uiPriority w:val="0"/>
    <w:pPr>
      <w:widowControl/>
      <w:spacing w:before="100" w:beforeAutospacing="1" w:after="100" w:afterAutospacing="1"/>
      <w:jc w:val="left"/>
      <w:textAlignment w:val="center"/>
    </w:pPr>
    <w:rPr>
      <w:rFonts w:ascii="宋体" w:hAnsi="宋体" w:eastAsia="宋体" w:cs="宋体"/>
      <w:kern w:val="0"/>
      <w:sz w:val="24"/>
      <w:szCs w:val="24"/>
    </w:rPr>
  </w:style>
  <w:style w:type="paragraph" w:customStyle="1" w:styleId="163">
    <w:name w:val="p17"/>
    <w:basedOn w:val="1"/>
    <w:qFormat/>
    <w:uiPriority w:val="0"/>
    <w:pPr>
      <w:widowControl/>
      <w:spacing w:line="360" w:lineRule="auto"/>
      <w:ind w:firstLine="420"/>
    </w:pPr>
    <w:rPr>
      <w:rFonts w:ascii="Times New Roman" w:hAnsi="Times New Roman" w:eastAsia="宋体" w:cs="Times New Roman"/>
      <w:kern w:val="0"/>
      <w:szCs w:val="20"/>
    </w:rPr>
  </w:style>
  <w:style w:type="paragraph" w:customStyle="1" w:styleId="164">
    <w:name w:val="样式1"/>
    <w:basedOn w:val="1"/>
    <w:next w:val="5"/>
    <w:qFormat/>
    <w:uiPriority w:val="0"/>
    <w:pPr>
      <w:spacing w:line="360" w:lineRule="auto"/>
    </w:pPr>
    <w:rPr>
      <w:rFonts w:ascii="仿宋_GB2312" w:hAnsi="Times New Roman" w:eastAsia="仿宋_GB2312" w:cs="Times New Roman"/>
      <w:color w:val="000000"/>
      <w:sz w:val="28"/>
      <w:szCs w:val="28"/>
    </w:rPr>
  </w:style>
  <w:style w:type="paragraph" w:customStyle="1" w:styleId="165">
    <w:name w:val="font6"/>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66">
    <w:name w:val="xl74"/>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kern w:val="0"/>
      <w:sz w:val="24"/>
      <w:szCs w:val="24"/>
    </w:rPr>
  </w:style>
  <w:style w:type="paragraph" w:customStyle="1" w:styleId="167">
    <w:name w:val="列出段落11"/>
    <w:basedOn w:val="1"/>
    <w:qFormat/>
    <w:uiPriority w:val="34"/>
    <w:pPr>
      <w:ind w:firstLine="420" w:firstLineChars="200"/>
    </w:pPr>
    <w:rPr>
      <w:rFonts w:ascii="Calibri" w:hAnsi="Calibri" w:eastAsia="宋体" w:cs="Times New Roman"/>
    </w:rPr>
  </w:style>
  <w:style w:type="paragraph" w:customStyle="1" w:styleId="168">
    <w:name w:val="正文1"/>
    <w:basedOn w:val="1"/>
    <w:qFormat/>
    <w:uiPriority w:val="0"/>
    <w:pPr>
      <w:spacing w:beforeLines="50" w:afterLines="50" w:line="288" w:lineRule="auto"/>
      <w:ind w:firstLine="200" w:firstLineChars="200"/>
    </w:pPr>
    <w:rPr>
      <w:rFonts w:ascii="Times New Roman" w:hAnsi="Times New Roman" w:eastAsia="宋体" w:cs="Times New Roman"/>
      <w:sz w:val="24"/>
    </w:rPr>
  </w:style>
  <w:style w:type="paragraph" w:customStyle="1" w:styleId="169">
    <w:name w:val="图文字体"/>
    <w:basedOn w:val="1"/>
    <w:qFormat/>
    <w:uiPriority w:val="0"/>
    <w:pPr>
      <w:snapToGrid w:val="0"/>
      <w:spacing w:line="300" w:lineRule="auto"/>
    </w:pPr>
    <w:rPr>
      <w:rFonts w:ascii="Times New Roman" w:hAnsi="Times New Roman" w:eastAsia="楷体_GB2312" w:cs="Times New Roman"/>
      <w:sz w:val="18"/>
      <w:szCs w:val="20"/>
    </w:rPr>
  </w:style>
  <w:style w:type="paragraph" w:customStyle="1" w:styleId="170">
    <w:name w:val="xl93"/>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kern w:val="0"/>
      <w:sz w:val="24"/>
      <w:szCs w:val="24"/>
    </w:rPr>
  </w:style>
  <w:style w:type="paragraph" w:customStyle="1" w:styleId="171">
    <w:name w:val="1.Text"/>
    <w:basedOn w:val="1"/>
    <w:qFormat/>
    <w:uiPriority w:val="0"/>
    <w:pPr>
      <w:autoSpaceDE w:val="0"/>
      <w:adjustRightInd w:val="0"/>
      <w:snapToGrid w:val="0"/>
      <w:spacing w:before="50" w:line="360" w:lineRule="auto"/>
      <w:ind w:firstLine="200" w:firstLineChars="200"/>
    </w:pPr>
    <w:rPr>
      <w:rFonts w:ascii="宋体" w:hAnsi="宋体" w:eastAsia="宋体" w:cs="Times New Roman"/>
      <w:snapToGrid w:val="0"/>
      <w:szCs w:val="20"/>
    </w:rPr>
  </w:style>
  <w:style w:type="paragraph" w:customStyle="1" w:styleId="172">
    <w:name w:val="2"/>
    <w:basedOn w:val="1"/>
    <w:next w:val="21"/>
    <w:qFormat/>
    <w:uiPriority w:val="0"/>
    <w:pPr>
      <w:ind w:left="559" w:leftChars="266"/>
    </w:pPr>
    <w:rPr>
      <w:rFonts w:ascii="仿宋_GB2312" w:hAnsi="Times New Roman" w:eastAsia="仿宋_GB2312" w:cs="Times New Roman"/>
      <w:sz w:val="28"/>
      <w:szCs w:val="24"/>
    </w:rPr>
  </w:style>
  <w:style w:type="paragraph" w:customStyle="1" w:styleId="173">
    <w:name w:val="font7"/>
    <w:basedOn w:val="1"/>
    <w:qFormat/>
    <w:uiPriority w:val="0"/>
    <w:pPr>
      <w:widowControl/>
      <w:spacing w:before="100" w:beforeAutospacing="1" w:after="100" w:afterAutospacing="1"/>
      <w:jc w:val="left"/>
    </w:pPr>
    <w:rPr>
      <w:rFonts w:ascii="宋体" w:hAnsi="宋体" w:eastAsia="宋体" w:cs="宋体"/>
      <w:kern w:val="0"/>
      <w:sz w:val="22"/>
    </w:rPr>
  </w:style>
  <w:style w:type="paragraph" w:customStyle="1" w:styleId="174">
    <w:name w:val="xl69"/>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kern w:val="0"/>
      <w:sz w:val="24"/>
      <w:szCs w:val="24"/>
    </w:rPr>
  </w:style>
  <w:style w:type="paragraph" w:customStyle="1" w:styleId="175">
    <w:name w:val="列出段落121"/>
    <w:basedOn w:val="1"/>
    <w:qFormat/>
    <w:uiPriority w:val="34"/>
    <w:pPr>
      <w:ind w:firstLine="420" w:firstLineChars="200"/>
    </w:pPr>
    <w:rPr>
      <w:rFonts w:ascii="Times New Roman" w:hAnsi="Times New Roman" w:eastAsia="宋体" w:cs="Times New Roman"/>
    </w:rPr>
  </w:style>
  <w:style w:type="paragraph" w:customStyle="1" w:styleId="176">
    <w:name w:val="xl84"/>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177">
    <w:name w:val="样式 标题 3 + (中文) 黑体 小四 非加粗 段前: 7.8 磅 段后: 0 磅 行距: 固定值 20 磅"/>
    <w:basedOn w:val="4"/>
    <w:qFormat/>
    <w:uiPriority w:val="0"/>
    <w:pPr>
      <w:tabs>
        <w:tab w:val="clear" w:pos="1418"/>
      </w:tabs>
      <w:spacing w:before="0" w:after="0" w:line="400" w:lineRule="exact"/>
      <w:ind w:firstLine="0"/>
    </w:pPr>
    <w:rPr>
      <w:rFonts w:ascii="Times New Roman" w:hAnsi="Times New Roman" w:eastAsia="黑体" w:cs="宋体"/>
      <w:b w:val="0"/>
      <w:bCs w:val="0"/>
      <w:sz w:val="24"/>
      <w:szCs w:val="20"/>
    </w:rPr>
  </w:style>
  <w:style w:type="paragraph" w:customStyle="1" w:styleId="178">
    <w:name w:val="xl90"/>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textAlignment w:val="center"/>
    </w:pPr>
    <w:rPr>
      <w:rFonts w:ascii="楷体" w:hAnsi="楷体" w:eastAsia="楷体" w:cs="宋体"/>
      <w:kern w:val="0"/>
      <w:sz w:val="24"/>
      <w:szCs w:val="24"/>
    </w:rPr>
  </w:style>
  <w:style w:type="paragraph" w:customStyle="1" w:styleId="179">
    <w:name w:val="列出段落12"/>
    <w:basedOn w:val="1"/>
    <w:qFormat/>
    <w:uiPriority w:val="99"/>
    <w:pPr>
      <w:ind w:firstLine="420" w:firstLineChars="200"/>
    </w:pPr>
    <w:rPr>
      <w:rFonts w:ascii="Times New Roman" w:hAnsi="Times New Roman" w:eastAsia="宋体" w:cs="Times New Roman"/>
    </w:rPr>
  </w:style>
  <w:style w:type="paragraph" w:customStyle="1" w:styleId="180">
    <w:name w:val="正文（栏位说明）"/>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customStyle="1" w:styleId="181">
    <w:name w:val="xl87"/>
    <w:basedOn w:val="1"/>
    <w:qFormat/>
    <w:uiPriority w:val="0"/>
    <w:pPr>
      <w:widowControl/>
      <w:pBdr>
        <w:left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kern w:val="0"/>
      <w:sz w:val="24"/>
      <w:szCs w:val="24"/>
    </w:rPr>
  </w:style>
  <w:style w:type="paragraph" w:customStyle="1" w:styleId="182">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183">
    <w:name w:val="xl9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184">
    <w:name w:val="样式 标题 2 + Times New Roman 四号 非加粗 段前: 5 磅 段后: 0 磅 行距: 固定值 20..."/>
    <w:basedOn w:val="3"/>
    <w:qFormat/>
    <w:uiPriority w:val="0"/>
    <w:pPr>
      <w:tabs>
        <w:tab w:val="clear" w:pos="708"/>
      </w:tabs>
      <w:spacing w:before="100" w:line="400" w:lineRule="exact"/>
      <w:textAlignment w:val="auto"/>
    </w:pPr>
    <w:rPr>
      <w:rFonts w:ascii="Times New Roman" w:hAnsi="Times New Roman" w:cs="宋体"/>
      <w:b w:val="0"/>
      <w:bCs w:val="0"/>
      <w:kern w:val="2"/>
      <w:szCs w:val="20"/>
    </w:rPr>
  </w:style>
  <w:style w:type="paragraph" w:customStyle="1" w:styleId="185">
    <w:name w:val="xl7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kern w:val="0"/>
      <w:sz w:val="24"/>
      <w:szCs w:val="24"/>
    </w:rPr>
  </w:style>
  <w:style w:type="paragraph" w:customStyle="1" w:styleId="186">
    <w:name w:val="xl92"/>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楷体" w:hAnsi="楷体" w:eastAsia="楷体" w:cs="宋体"/>
      <w:kern w:val="0"/>
      <w:sz w:val="24"/>
      <w:szCs w:val="24"/>
    </w:rPr>
  </w:style>
  <w:style w:type="paragraph" w:customStyle="1" w:styleId="187">
    <w:name w:val="aaa"/>
    <w:basedOn w:val="1"/>
    <w:qFormat/>
    <w:uiPriority w:val="0"/>
    <w:pPr>
      <w:spacing w:after="120" w:line="360" w:lineRule="auto"/>
      <w:ind w:firstLine="567"/>
    </w:pPr>
    <w:rPr>
      <w:rFonts w:ascii="宋体" w:hAnsi="宋体" w:eastAsia="宋体" w:cs="Times New Roman"/>
      <w:szCs w:val="20"/>
    </w:rPr>
  </w:style>
  <w:style w:type="paragraph" w:customStyle="1" w:styleId="188">
    <w:name w:val="xl100"/>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kern w:val="0"/>
      <w:sz w:val="24"/>
      <w:szCs w:val="24"/>
    </w:rPr>
  </w:style>
  <w:style w:type="paragraph" w:customStyle="1" w:styleId="189">
    <w:name w:val="p0"/>
    <w:basedOn w:val="1"/>
    <w:qFormat/>
    <w:uiPriority w:val="99"/>
    <w:rPr>
      <w:rFonts w:ascii="Times New Roman" w:hAnsi="Times New Roman" w:eastAsia="宋体" w:cs="Times New Roman"/>
      <w:kern w:val="0"/>
      <w:szCs w:val="20"/>
    </w:rPr>
  </w:style>
  <w:style w:type="paragraph" w:customStyle="1" w:styleId="190">
    <w:name w:val="Char"/>
    <w:basedOn w:val="1"/>
    <w:qFormat/>
    <w:uiPriority w:val="0"/>
    <w:rPr>
      <w:rFonts w:ascii="Tahoma" w:hAnsi="Tahoma" w:eastAsia="宋体" w:cs="Times New Roman"/>
      <w:sz w:val="24"/>
      <w:szCs w:val="20"/>
    </w:rPr>
  </w:style>
  <w:style w:type="paragraph" w:customStyle="1" w:styleId="191">
    <w:name w:val="xl76"/>
    <w:basedOn w:val="1"/>
    <w:qFormat/>
    <w:uiPriority w:val="0"/>
    <w:pPr>
      <w:widowControl/>
      <w:pBdr>
        <w:left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kern w:val="0"/>
      <w:sz w:val="24"/>
      <w:szCs w:val="24"/>
    </w:rPr>
  </w:style>
  <w:style w:type="paragraph" w:customStyle="1" w:styleId="192">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kern w:val="0"/>
      <w:sz w:val="24"/>
      <w:szCs w:val="24"/>
    </w:rPr>
  </w:style>
  <w:style w:type="paragraph" w:customStyle="1" w:styleId="193">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楷体" w:hAnsi="楷体" w:eastAsia="楷体" w:cs="宋体"/>
      <w:b/>
      <w:bCs/>
      <w:color w:val="000000"/>
      <w:kern w:val="0"/>
      <w:sz w:val="24"/>
      <w:szCs w:val="24"/>
    </w:rPr>
  </w:style>
  <w:style w:type="paragraph" w:customStyle="1" w:styleId="194">
    <w:name w:val="修订1"/>
    <w:semiHidden/>
    <w:qFormat/>
    <w:uiPriority w:val="99"/>
    <w:rPr>
      <w:rFonts w:ascii="Times New Roman" w:hAnsi="Times New Roman" w:eastAsia="宋体" w:cs="Times New Roman"/>
      <w:kern w:val="2"/>
      <w:sz w:val="21"/>
      <w:szCs w:val="22"/>
      <w:lang w:val="en-US" w:eastAsia="zh-CN" w:bidi="ar-SA"/>
    </w:rPr>
  </w:style>
  <w:style w:type="paragraph" w:customStyle="1" w:styleId="195">
    <w:name w:val="xl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eastAsia="宋体" w:cs="宋体"/>
      <w:kern w:val="0"/>
      <w:sz w:val="24"/>
      <w:szCs w:val="24"/>
    </w:rPr>
  </w:style>
  <w:style w:type="paragraph" w:customStyle="1" w:styleId="196">
    <w:name w:val="小标题"/>
    <w:basedOn w:val="1"/>
    <w:next w:val="1"/>
    <w:qFormat/>
    <w:uiPriority w:val="0"/>
    <w:pPr>
      <w:numPr>
        <w:ilvl w:val="0"/>
        <w:numId w:val="4"/>
      </w:numPr>
      <w:snapToGrid w:val="0"/>
      <w:spacing w:before="120" w:after="120"/>
    </w:pPr>
    <w:rPr>
      <w:rFonts w:ascii="Times New Roman" w:hAnsi="Times New Roman" w:eastAsia="黑体" w:cs="Times New Roman"/>
      <w:b/>
      <w:sz w:val="30"/>
      <w:szCs w:val="20"/>
    </w:rPr>
  </w:style>
  <w:style w:type="paragraph" w:customStyle="1" w:styleId="197">
    <w:name w:val="红色+标题4"/>
    <w:basedOn w:val="5"/>
    <w:next w:val="1"/>
    <w:qFormat/>
    <w:uiPriority w:val="0"/>
    <w:pPr>
      <w:tabs>
        <w:tab w:val="left" w:pos="851"/>
      </w:tabs>
      <w:spacing w:before="120" w:after="120" w:line="360" w:lineRule="auto"/>
      <w:ind w:left="851" w:hanging="851"/>
    </w:pPr>
    <w:rPr>
      <w:rFonts w:ascii="Times New Roman" w:hAnsi="Times New Roman"/>
      <w:color w:val="FF0000"/>
      <w:kern w:val="2"/>
    </w:rPr>
  </w:style>
  <w:style w:type="paragraph" w:customStyle="1" w:styleId="198">
    <w:name w:val="xl95"/>
    <w:basedOn w:val="1"/>
    <w:qFormat/>
    <w:uiPriority w:val="0"/>
    <w:pPr>
      <w:widowControl/>
      <w:pBdr>
        <w:left w:val="single" w:color="auto" w:sz="4" w:space="0"/>
        <w:right w:val="single" w:color="auto" w:sz="4" w:space="0"/>
      </w:pBdr>
      <w:shd w:val="clear" w:color="000000" w:fill="FFFFFF"/>
      <w:spacing w:before="100" w:beforeAutospacing="1" w:after="100" w:afterAutospacing="1"/>
      <w:jc w:val="left"/>
      <w:textAlignment w:val="center"/>
    </w:pPr>
    <w:rPr>
      <w:rFonts w:ascii="宋体" w:hAnsi="宋体" w:eastAsia="宋体" w:cs="宋体"/>
      <w:kern w:val="0"/>
      <w:sz w:val="24"/>
      <w:szCs w:val="24"/>
    </w:rPr>
  </w:style>
  <w:style w:type="paragraph" w:customStyle="1" w:styleId="199">
    <w:name w:val="表格文字+表头加粗"/>
    <w:basedOn w:val="1"/>
    <w:qFormat/>
    <w:uiPriority w:val="0"/>
    <w:pPr>
      <w:adjustRightInd w:val="0"/>
      <w:snapToGrid w:val="0"/>
      <w:spacing w:beforeLines="20" w:afterLines="20"/>
      <w:jc w:val="center"/>
    </w:pPr>
    <w:rPr>
      <w:rFonts w:ascii="Times New Roman" w:hAnsi="Times New Roman" w:eastAsia="宋体" w:cs="Times New Roman"/>
      <w:b/>
      <w:sz w:val="24"/>
      <w:szCs w:val="24"/>
    </w:rPr>
  </w:style>
  <w:style w:type="paragraph" w:customStyle="1" w:styleId="200">
    <w:name w:val="表格文字+左对齐"/>
    <w:qFormat/>
    <w:uiPriority w:val="0"/>
    <w:pPr>
      <w:widowControl w:val="0"/>
      <w:adjustRightInd w:val="0"/>
      <w:snapToGrid w:val="0"/>
      <w:jc w:val="both"/>
    </w:pPr>
    <w:rPr>
      <w:rFonts w:ascii="Times New Roman" w:hAnsi="Times New Roman" w:eastAsia="宋体" w:cs="Times New Roman"/>
      <w:kern w:val="2"/>
      <w:sz w:val="24"/>
      <w:szCs w:val="24"/>
      <w:lang w:val="en-US" w:eastAsia="zh-CN" w:bidi="ar-SA"/>
    </w:rPr>
  </w:style>
  <w:style w:type="paragraph" w:customStyle="1" w:styleId="201">
    <w:name w:val="样式8"/>
    <w:basedOn w:val="1"/>
    <w:qFormat/>
    <w:uiPriority w:val="0"/>
    <w:pPr>
      <w:widowControl/>
      <w:spacing w:before="120" w:line="288" w:lineRule="auto"/>
      <w:ind w:left="1713" w:hanging="454"/>
    </w:pPr>
    <w:rPr>
      <w:rFonts w:ascii="Arial" w:hAnsi="Arial" w:eastAsia="宋体" w:cs="Times New Roman"/>
      <w:kern w:val="0"/>
      <w:szCs w:val="20"/>
    </w:rPr>
  </w:style>
  <w:style w:type="paragraph" w:customStyle="1" w:styleId="202">
    <w:name w:val="xl83"/>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kern w:val="0"/>
      <w:sz w:val="24"/>
      <w:szCs w:val="24"/>
    </w:rPr>
  </w:style>
  <w:style w:type="paragraph" w:customStyle="1" w:styleId="203">
    <w:name w:val="xl101"/>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kern w:val="0"/>
      <w:sz w:val="24"/>
      <w:szCs w:val="24"/>
    </w:rPr>
  </w:style>
  <w:style w:type="paragraph" w:customStyle="1" w:styleId="204">
    <w:name w:val="xl23"/>
    <w:basedOn w:val="1"/>
    <w:qFormat/>
    <w:uiPriority w:val="0"/>
    <w:pPr>
      <w:widowControl/>
      <w:pBdr>
        <w:left w:val="single" w:color="auto" w:sz="4" w:space="0"/>
        <w:bottom w:val="single" w:color="auto" w:sz="4" w:space="0"/>
        <w:right w:val="single" w:color="auto" w:sz="4" w:space="0"/>
      </w:pBdr>
      <w:spacing w:before="100" w:after="100"/>
      <w:textAlignment w:val="top"/>
    </w:pPr>
    <w:rPr>
      <w:rFonts w:ascii="宋体" w:hAnsi="宋体" w:eastAsia="宋体" w:cs="Times New Roman"/>
      <w:kern w:val="0"/>
      <w:sz w:val="24"/>
      <w:szCs w:val="24"/>
    </w:rPr>
  </w:style>
  <w:style w:type="paragraph" w:customStyle="1" w:styleId="205">
    <w:name w:val="缺省文本"/>
    <w:basedOn w:val="1"/>
    <w:qFormat/>
    <w:uiPriority w:val="0"/>
    <w:pPr>
      <w:snapToGrid w:val="0"/>
    </w:pPr>
    <w:rPr>
      <w:rFonts w:ascii="Times New Roman" w:hAnsi="Times New Roman" w:eastAsia="Times New Roman" w:cs="Times New Roman"/>
      <w:snapToGrid w:val="0"/>
      <w:sz w:val="24"/>
      <w:szCs w:val="20"/>
      <w:lang w:eastAsia="en-US"/>
    </w:rPr>
  </w:style>
  <w:style w:type="paragraph" w:customStyle="1" w:styleId="206">
    <w:name w:val="TOC 标题1"/>
    <w:basedOn w:val="2"/>
    <w:next w:val="1"/>
    <w:qFormat/>
    <w:uiPriority w:val="39"/>
    <w:pPr>
      <w:widowControl/>
      <w:spacing w:before="480" w:line="276" w:lineRule="auto"/>
      <w:jc w:val="left"/>
      <w:outlineLvl w:val="9"/>
    </w:pPr>
    <w:rPr>
      <w:rFonts w:ascii="Cambria" w:hAnsi="Cambria" w:eastAsia="宋体"/>
      <w:color w:val="365F91"/>
      <w:kern w:val="0"/>
      <w:sz w:val="28"/>
      <w:szCs w:val="28"/>
    </w:rPr>
  </w:style>
  <w:style w:type="paragraph" w:customStyle="1" w:styleId="207">
    <w:name w:val="bullet 1"/>
    <w:basedOn w:val="1"/>
    <w:qFormat/>
    <w:uiPriority w:val="0"/>
    <w:pPr>
      <w:tabs>
        <w:tab w:val="left" w:pos="845"/>
      </w:tabs>
      <w:spacing w:beforeLines="50" w:afterLines="50" w:line="276" w:lineRule="auto"/>
      <w:ind w:left="845" w:hanging="425"/>
    </w:pPr>
    <w:rPr>
      <w:rFonts w:ascii="Times New Roman" w:hAnsi="Times New Roman" w:eastAsia="宋体" w:cs="Times New Roman"/>
      <w:szCs w:val="21"/>
    </w:rPr>
  </w:style>
  <w:style w:type="paragraph" w:customStyle="1" w:styleId="208">
    <w:name w:val="xl6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kern w:val="0"/>
      <w:sz w:val="24"/>
      <w:szCs w:val="24"/>
    </w:rPr>
  </w:style>
  <w:style w:type="paragraph" w:customStyle="1" w:styleId="209">
    <w:name w:val="xl78"/>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left"/>
      <w:textAlignment w:val="center"/>
    </w:pPr>
    <w:rPr>
      <w:rFonts w:ascii="宋体" w:hAnsi="宋体" w:eastAsia="宋体" w:cs="宋体"/>
      <w:kern w:val="0"/>
      <w:sz w:val="24"/>
      <w:szCs w:val="24"/>
    </w:rPr>
  </w:style>
  <w:style w:type="paragraph" w:customStyle="1" w:styleId="210">
    <w:name w:val="font8"/>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211">
    <w:name w:val="xl82"/>
    <w:basedOn w:val="1"/>
    <w:qFormat/>
    <w:uiPriority w:val="0"/>
    <w:pPr>
      <w:widowControl/>
      <w:shd w:val="clear" w:color="000000" w:fill="FFFFFF"/>
      <w:spacing w:before="100" w:beforeAutospacing="1" w:after="100" w:afterAutospacing="1"/>
      <w:jc w:val="center"/>
      <w:textAlignment w:val="center"/>
    </w:pPr>
    <w:rPr>
      <w:rFonts w:ascii="宋体" w:hAnsi="宋体" w:eastAsia="宋体" w:cs="宋体"/>
      <w:kern w:val="0"/>
      <w:sz w:val="24"/>
      <w:szCs w:val="24"/>
    </w:rPr>
  </w:style>
  <w:style w:type="paragraph" w:customStyle="1" w:styleId="212">
    <w:name w:val="l列表1"/>
    <w:qFormat/>
    <w:uiPriority w:val="0"/>
    <w:pPr>
      <w:numPr>
        <w:ilvl w:val="0"/>
        <w:numId w:val="5"/>
      </w:numPr>
      <w:tabs>
        <w:tab w:val="left" w:pos="735"/>
      </w:tabs>
      <w:spacing w:line="360" w:lineRule="auto"/>
    </w:pPr>
    <w:rPr>
      <w:rFonts w:ascii="Times New Roman" w:hAnsi="Times New Roman" w:eastAsia="宋体" w:cs="Times New Roman"/>
      <w:iCs/>
      <w:kern w:val="2"/>
      <w:sz w:val="22"/>
      <w:szCs w:val="22"/>
      <w:lang w:val="en-US" w:eastAsia="zh-CN" w:bidi="ar-SA"/>
    </w:rPr>
  </w:style>
  <w:style w:type="paragraph" w:customStyle="1" w:styleId="213">
    <w:name w:val="xl75"/>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eastAsia="宋体" w:cs="宋体"/>
      <w:kern w:val="0"/>
      <w:sz w:val="24"/>
      <w:szCs w:val="24"/>
    </w:rPr>
  </w:style>
  <w:style w:type="paragraph" w:customStyle="1" w:styleId="214">
    <w:name w:val="编号2"/>
    <w:basedOn w:val="1"/>
    <w:qFormat/>
    <w:uiPriority w:val="0"/>
    <w:pPr>
      <w:tabs>
        <w:tab w:val="left" w:pos="1080"/>
      </w:tabs>
      <w:spacing w:afterLines="30" w:line="288" w:lineRule="auto"/>
      <w:ind w:left="1080" w:leftChars="150" w:hanging="720" w:hangingChars="300"/>
    </w:pPr>
    <w:rPr>
      <w:rFonts w:ascii="Times New Roman" w:hAnsi="Times New Roman" w:eastAsia="宋体" w:cs="Times New Roman"/>
      <w:sz w:val="24"/>
      <w:szCs w:val="24"/>
    </w:rPr>
  </w:style>
  <w:style w:type="paragraph" w:customStyle="1" w:styleId="215">
    <w:name w:val="Default"/>
    <w:qFormat/>
    <w:uiPriority w:val="0"/>
    <w:pPr>
      <w:widowControl w:val="0"/>
      <w:autoSpaceDE w:val="0"/>
      <w:autoSpaceDN w:val="0"/>
      <w:adjustRightInd w:val="0"/>
    </w:pPr>
    <w:rPr>
      <w:rFonts w:ascii="微软雅黑" w:hAnsi="Calibri" w:eastAsia="微软雅黑" w:cs="微软雅黑"/>
      <w:color w:val="000000"/>
      <w:sz w:val="24"/>
      <w:szCs w:val="24"/>
      <w:lang w:val="en-US" w:eastAsia="zh-CN" w:bidi="ar-SA"/>
    </w:rPr>
  </w:style>
  <w:style w:type="paragraph" w:customStyle="1" w:styleId="216">
    <w:name w:val="表格文字"/>
    <w:basedOn w:val="1"/>
    <w:qFormat/>
    <w:uiPriority w:val="0"/>
    <w:pPr>
      <w:jc w:val="left"/>
      <w:textAlignment w:val="top"/>
    </w:pPr>
    <w:rPr>
      <w:rFonts w:ascii="Times New Roman" w:hAnsi="Times New Roman" w:eastAsia="宋体" w:cs="Times New Roman"/>
      <w:sz w:val="18"/>
      <w:szCs w:val="20"/>
    </w:rPr>
  </w:style>
  <w:style w:type="table" w:customStyle="1" w:styleId="217">
    <w:name w:val="网格型1"/>
    <w:basedOn w:val="55"/>
    <w:qFormat/>
    <w:uiPriority w:val="59"/>
    <w:pPr>
      <w:snapToGrid w:val="0"/>
      <w:jc w:val="center"/>
    </w:pPr>
    <w:rPr>
      <w:rFonts w:eastAsia="新宋体"/>
    </w:rPr>
    <w:tblP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85" w:type="dxa"/>
        <w:left w:w="85" w:type="dxa"/>
        <w:bottom w:w="85" w:type="dxa"/>
        <w:right w:w="85" w:type="dxa"/>
      </w:tblCellMar>
    </w:tblPr>
    <w:trPr>
      <w:cantSplit/>
    </w:trPr>
    <w:tcPr>
      <w:vAlign w:val="center"/>
    </w:tcPr>
    <w:tblStylePr w:type="firstRow">
      <w:rPr>
        <w:rFonts w:ascii="Times New Roman" w:hAnsi="Times New Roman" w:eastAsia="Corbel"/>
        <w:b/>
        <w:i w:val="0"/>
        <w:caps w:val="0"/>
        <w:smallCaps w:val="0"/>
        <w:strike w:val="0"/>
        <w:dstrike w:val="0"/>
        <w:vanish w:val="0"/>
        <w:color w:val="auto"/>
        <w:sz w:val="21"/>
        <w:u w:val="none"/>
        <w:vertAlign w:val="baseline"/>
      </w:rPr>
      <w:tblPr>
        <w:tblLayout w:type="fixed"/>
      </w:tblPr>
      <w:trPr>
        <w:tblHeader/>
      </w:trPr>
      <w:tcPr>
        <w:tcBorders>
          <w:top w:val="single" w:color="auto" w:sz="8" w:space="0"/>
          <w:left w:val="single" w:color="auto" w:sz="8" w:space="0"/>
          <w:bottom w:val="single" w:color="auto" w:sz="8" w:space="0"/>
          <w:right w:val="single" w:color="auto" w:sz="8" w:space="0"/>
          <w:insideH w:val="nil"/>
          <w:insideV w:val="single" w:sz="8" w:space="0"/>
          <w:tl2br w:val="nil"/>
          <w:tr2bl w:val="nil"/>
        </w:tcBorders>
        <w:shd w:val="clear" w:color="auto" w:fill="F2F2F2"/>
      </w:tcPr>
    </w:tblStylePr>
  </w:style>
  <w:style w:type="character" w:customStyle="1" w:styleId="218">
    <w:name w:val="批注文字 字符"/>
    <w:semiHidden/>
    <w:qFormat/>
    <w:uiPriority w:val="99"/>
    <w:rPr>
      <w:kern w:val="2"/>
      <w:sz w:val="28"/>
      <w:szCs w:val="28"/>
    </w:rPr>
  </w:style>
  <w:style w:type="character" w:customStyle="1" w:styleId="219">
    <w:name w:val="批注框文本 字符"/>
    <w:semiHidden/>
    <w:qFormat/>
    <w:uiPriority w:val="99"/>
    <w:rPr>
      <w:kern w:val="2"/>
      <w:sz w:val="18"/>
      <w:szCs w:val="18"/>
    </w:rPr>
  </w:style>
  <w:style w:type="character" w:customStyle="1" w:styleId="220">
    <w:name w:val="页脚 字符"/>
    <w:qFormat/>
    <w:uiPriority w:val="99"/>
  </w:style>
  <w:style w:type="character" w:customStyle="1" w:styleId="221">
    <w:name w:val="日期 字符"/>
    <w:semiHidden/>
    <w:qFormat/>
    <w:uiPriority w:val="99"/>
    <w:rPr>
      <w:kern w:val="2"/>
      <w:sz w:val="28"/>
      <w:szCs w:val="28"/>
    </w:rPr>
  </w:style>
  <w:style w:type="character" w:customStyle="1" w:styleId="222">
    <w:name w:val="标题 1 字符"/>
    <w:qFormat/>
    <w:uiPriority w:val="9"/>
    <w:rPr>
      <w:b/>
      <w:bCs/>
      <w:kern w:val="44"/>
      <w:sz w:val="44"/>
      <w:szCs w:val="44"/>
    </w:rPr>
  </w:style>
  <w:style w:type="character" w:customStyle="1" w:styleId="223">
    <w:name w:val="标题 2 字符"/>
    <w:semiHidden/>
    <w:qFormat/>
    <w:uiPriority w:val="9"/>
    <w:rPr>
      <w:rFonts w:ascii="等线 Light" w:hAnsi="等线 Light" w:eastAsia="等线 Light" w:cs="Times New Roman"/>
      <w:b/>
      <w:bCs/>
      <w:kern w:val="2"/>
      <w:sz w:val="32"/>
      <w:szCs w:val="32"/>
    </w:rPr>
  </w:style>
  <w:style w:type="character" w:customStyle="1" w:styleId="224">
    <w:name w:val="标题 3 字符"/>
    <w:semiHidden/>
    <w:qFormat/>
    <w:uiPriority w:val="9"/>
    <w:rPr>
      <w:b/>
      <w:bCs/>
      <w:kern w:val="2"/>
      <w:sz w:val="32"/>
      <w:szCs w:val="32"/>
    </w:rPr>
  </w:style>
  <w:style w:type="character" w:customStyle="1" w:styleId="225">
    <w:name w:val="标题 4 字符"/>
    <w:semiHidden/>
    <w:qFormat/>
    <w:uiPriority w:val="9"/>
    <w:rPr>
      <w:rFonts w:ascii="等线 Light" w:hAnsi="等线 Light" w:eastAsia="等线 Light" w:cs="Times New Roman"/>
      <w:b/>
      <w:bCs/>
      <w:kern w:val="2"/>
      <w:sz w:val="28"/>
      <w:szCs w:val="28"/>
    </w:rPr>
  </w:style>
  <w:style w:type="character" w:customStyle="1" w:styleId="226">
    <w:name w:val="标题 5 字符"/>
    <w:semiHidden/>
    <w:qFormat/>
    <w:uiPriority w:val="9"/>
    <w:rPr>
      <w:b/>
      <w:bCs/>
      <w:kern w:val="2"/>
      <w:sz w:val="28"/>
      <w:szCs w:val="28"/>
    </w:rPr>
  </w:style>
  <w:style w:type="character" w:customStyle="1" w:styleId="227">
    <w:name w:val="标题 6 字符"/>
    <w:semiHidden/>
    <w:qFormat/>
    <w:uiPriority w:val="9"/>
    <w:rPr>
      <w:rFonts w:ascii="等线 Light" w:hAnsi="等线 Light" w:eastAsia="等线 Light" w:cs="Times New Roman"/>
      <w:b/>
      <w:bCs/>
      <w:kern w:val="2"/>
      <w:sz w:val="24"/>
      <w:szCs w:val="24"/>
    </w:rPr>
  </w:style>
  <w:style w:type="character" w:customStyle="1" w:styleId="228">
    <w:name w:val="标题 7 字符"/>
    <w:semiHidden/>
    <w:qFormat/>
    <w:uiPriority w:val="9"/>
    <w:rPr>
      <w:b/>
      <w:bCs/>
      <w:kern w:val="2"/>
      <w:sz w:val="24"/>
      <w:szCs w:val="24"/>
    </w:rPr>
  </w:style>
  <w:style w:type="character" w:customStyle="1" w:styleId="229">
    <w:name w:val="标题 8 字符"/>
    <w:semiHidden/>
    <w:qFormat/>
    <w:uiPriority w:val="9"/>
    <w:rPr>
      <w:rFonts w:ascii="等线 Light" w:hAnsi="等线 Light" w:eastAsia="等线 Light" w:cs="Times New Roman"/>
      <w:kern w:val="2"/>
      <w:sz w:val="24"/>
      <w:szCs w:val="24"/>
    </w:rPr>
  </w:style>
  <w:style w:type="character" w:customStyle="1" w:styleId="230">
    <w:name w:val="标题 9 字符"/>
    <w:semiHidden/>
    <w:qFormat/>
    <w:uiPriority w:val="9"/>
    <w:rPr>
      <w:rFonts w:ascii="等线 Light" w:hAnsi="等线 Light" w:eastAsia="等线 Light" w:cs="Times New Roman"/>
      <w:kern w:val="2"/>
      <w:sz w:val="21"/>
      <w:szCs w:val="21"/>
    </w:rPr>
  </w:style>
  <w:style w:type="character" w:customStyle="1" w:styleId="231">
    <w:name w:val="页眉 字符"/>
    <w:qFormat/>
    <w:uiPriority w:val="99"/>
    <w:rPr>
      <w:sz w:val="18"/>
      <w:szCs w:val="18"/>
    </w:rPr>
  </w:style>
  <w:style w:type="character" w:customStyle="1" w:styleId="232">
    <w:name w:val="正文缩进 字符"/>
    <w:qFormat/>
    <w:uiPriority w:val="0"/>
  </w:style>
  <w:style w:type="character" w:customStyle="1" w:styleId="233">
    <w:name w:val="正文文本 3 字符1"/>
    <w:qFormat/>
    <w:uiPriority w:val="0"/>
    <w:rPr>
      <w:color w:val="FF0000"/>
      <w:sz w:val="24"/>
      <w:szCs w:val="24"/>
    </w:rPr>
  </w:style>
  <w:style w:type="character" w:customStyle="1" w:styleId="234">
    <w:name w:val="尾注文本 字符1"/>
    <w:qFormat/>
    <w:uiPriority w:val="99"/>
  </w:style>
  <w:style w:type="character" w:customStyle="1" w:styleId="235">
    <w:name w:val="批注主题 字符1"/>
    <w:qFormat/>
    <w:uiPriority w:val="99"/>
    <w:rPr>
      <w:b/>
      <w:bCs/>
    </w:rPr>
  </w:style>
  <w:style w:type="character" w:customStyle="1" w:styleId="236">
    <w:name w:val="正文首行缩进 字符1"/>
    <w:qFormat/>
    <w:uiPriority w:val="0"/>
    <w:rPr>
      <w:szCs w:val="24"/>
    </w:rPr>
  </w:style>
  <w:style w:type="character" w:customStyle="1" w:styleId="237">
    <w:name w:val="正文文本缩进 3 字符1"/>
    <w:qFormat/>
    <w:uiPriority w:val="0"/>
    <w:rPr>
      <w:b/>
      <w:i/>
      <w:color w:val="000000"/>
      <w:szCs w:val="24"/>
      <w:u w:val="single"/>
    </w:rPr>
  </w:style>
  <w:style w:type="character" w:customStyle="1" w:styleId="238">
    <w:name w:val="标题 9 字符1"/>
    <w:qFormat/>
    <w:uiPriority w:val="0"/>
    <w:rPr>
      <w:rFonts w:ascii="Arial" w:hAnsi="Arial" w:eastAsia="黑体"/>
      <w:kern w:val="2"/>
      <w:sz w:val="21"/>
      <w:szCs w:val="21"/>
    </w:rPr>
  </w:style>
  <w:style w:type="character" w:customStyle="1" w:styleId="239">
    <w:name w:val="标题 2 字符1"/>
    <w:qFormat/>
    <w:uiPriority w:val="9"/>
    <w:rPr>
      <w:rFonts w:ascii="Arial" w:hAnsi="Arial" w:eastAsia="黑体"/>
      <w:b/>
      <w:bCs/>
      <w:sz w:val="32"/>
      <w:szCs w:val="32"/>
    </w:rPr>
  </w:style>
  <w:style w:type="character" w:customStyle="1" w:styleId="240">
    <w:name w:val="标题 3 字符1"/>
    <w:qFormat/>
    <w:uiPriority w:val="9"/>
    <w:rPr>
      <w:rFonts w:ascii="Calibri" w:hAnsi="Calibri" w:eastAsia="宋体"/>
      <w:b/>
      <w:bCs/>
      <w:sz w:val="32"/>
      <w:szCs w:val="32"/>
    </w:rPr>
  </w:style>
  <w:style w:type="character" w:customStyle="1" w:styleId="241">
    <w:name w:val="列出段落 字符"/>
    <w:qFormat/>
    <w:uiPriority w:val="99"/>
  </w:style>
  <w:style w:type="character" w:customStyle="1" w:styleId="242">
    <w:name w:val="标题 6 字符1"/>
    <w:qFormat/>
    <w:uiPriority w:val="0"/>
    <w:rPr>
      <w:rFonts w:ascii="Arial" w:hAnsi="Arial" w:eastAsia="黑体"/>
      <w:bCs/>
      <w:kern w:val="2"/>
      <w:sz w:val="21"/>
      <w:szCs w:val="24"/>
    </w:rPr>
  </w:style>
  <w:style w:type="character" w:customStyle="1" w:styleId="243">
    <w:name w:val="正文文本 字符1"/>
    <w:qFormat/>
    <w:uiPriority w:val="0"/>
    <w:rPr>
      <w:sz w:val="24"/>
      <w:szCs w:val="24"/>
    </w:rPr>
  </w:style>
  <w:style w:type="character" w:customStyle="1" w:styleId="244">
    <w:name w:val="正文文本 2 字符1"/>
    <w:qFormat/>
    <w:uiPriority w:val="0"/>
    <w:rPr>
      <w:color w:val="000000"/>
      <w:szCs w:val="24"/>
    </w:rPr>
  </w:style>
  <w:style w:type="character" w:customStyle="1" w:styleId="245">
    <w:name w:val="标题 字符1"/>
    <w:qFormat/>
    <w:uiPriority w:val="0"/>
    <w:rPr>
      <w:rFonts w:ascii="Cambria" w:hAnsi="Cambria"/>
      <w:b/>
      <w:bCs/>
      <w:sz w:val="32"/>
      <w:szCs w:val="32"/>
    </w:rPr>
  </w:style>
  <w:style w:type="character" w:customStyle="1" w:styleId="246">
    <w:name w:val="标题 4 字符1"/>
    <w:qFormat/>
    <w:uiPriority w:val="9"/>
    <w:rPr>
      <w:rFonts w:ascii="Cambria" w:hAnsi="Cambria" w:eastAsia="宋体"/>
      <w:b/>
      <w:bCs/>
      <w:sz w:val="28"/>
      <w:szCs w:val="28"/>
    </w:rPr>
  </w:style>
  <w:style w:type="character" w:customStyle="1" w:styleId="247">
    <w:name w:val="标题 7 字符1"/>
    <w:qFormat/>
    <w:uiPriority w:val="0"/>
    <w:rPr>
      <w:rFonts w:eastAsia="宋体"/>
      <w:b/>
      <w:bCs/>
      <w:kern w:val="2"/>
      <w:sz w:val="24"/>
      <w:szCs w:val="24"/>
    </w:rPr>
  </w:style>
  <w:style w:type="character" w:customStyle="1" w:styleId="248">
    <w:name w:val="标题 5 字符1"/>
    <w:qFormat/>
    <w:uiPriority w:val="0"/>
    <w:rPr>
      <w:rFonts w:eastAsia="黑体"/>
      <w:bCs/>
      <w:kern w:val="2"/>
      <w:sz w:val="24"/>
      <w:szCs w:val="28"/>
    </w:rPr>
  </w:style>
  <w:style w:type="character" w:customStyle="1" w:styleId="249">
    <w:name w:val="标题 8 字符1"/>
    <w:qFormat/>
    <w:uiPriority w:val="0"/>
    <w:rPr>
      <w:rFonts w:ascii="Arial" w:hAnsi="Arial" w:eastAsia="黑体"/>
      <w:kern w:val="2"/>
      <w:sz w:val="24"/>
      <w:szCs w:val="24"/>
    </w:rPr>
  </w:style>
  <w:style w:type="character" w:customStyle="1" w:styleId="250">
    <w:name w:val="批注框文本 字符1"/>
    <w:qFormat/>
    <w:uiPriority w:val="99"/>
    <w:rPr>
      <w:sz w:val="18"/>
      <w:szCs w:val="18"/>
    </w:rPr>
  </w:style>
  <w:style w:type="character" w:customStyle="1" w:styleId="251">
    <w:name w:val="正文文本缩进 2 字符1"/>
    <w:qFormat/>
    <w:uiPriority w:val="99"/>
  </w:style>
  <w:style w:type="character" w:customStyle="1" w:styleId="252">
    <w:name w:val="日期 字符1"/>
    <w:qFormat/>
    <w:uiPriority w:val="99"/>
    <w:rPr>
      <w:rFonts w:ascii="Times New Roman" w:hAnsi="Times New Roman" w:eastAsia="幼圆"/>
      <w:sz w:val="28"/>
    </w:rPr>
  </w:style>
  <w:style w:type="character" w:customStyle="1" w:styleId="253">
    <w:name w:val="正文文本缩进 字符1"/>
    <w:qFormat/>
    <w:uiPriority w:val="0"/>
    <w:rPr>
      <w:rFonts w:ascii="仿宋_GB2312"/>
      <w:sz w:val="28"/>
      <w:szCs w:val="24"/>
    </w:rPr>
  </w:style>
  <w:style w:type="character" w:customStyle="1" w:styleId="254">
    <w:name w:val="标题 1 字符1"/>
    <w:qFormat/>
    <w:uiPriority w:val="9"/>
    <w:rPr>
      <w:rFonts w:ascii="Calibri" w:hAnsi="Calibri" w:eastAsia="宋体"/>
      <w:b/>
      <w:bCs/>
      <w:kern w:val="44"/>
      <w:sz w:val="44"/>
      <w:szCs w:val="44"/>
    </w:rPr>
  </w:style>
  <w:style w:type="character" w:customStyle="1" w:styleId="255">
    <w:name w:val="纯文本 字符1"/>
    <w:qFormat/>
    <w:uiPriority w:val="0"/>
    <w:rPr>
      <w:rFonts w:ascii="宋体" w:hAnsi="Courier New"/>
    </w:rPr>
  </w:style>
  <w:style w:type="character" w:customStyle="1" w:styleId="256">
    <w:name w:val="正文文本缩进 字符"/>
    <w:semiHidden/>
    <w:qFormat/>
    <w:uiPriority w:val="99"/>
    <w:rPr>
      <w:kern w:val="2"/>
      <w:sz w:val="28"/>
      <w:szCs w:val="28"/>
    </w:rPr>
  </w:style>
  <w:style w:type="character" w:customStyle="1" w:styleId="257">
    <w:name w:val="正文文本缩进 2 字符"/>
    <w:semiHidden/>
    <w:qFormat/>
    <w:uiPriority w:val="99"/>
    <w:rPr>
      <w:kern w:val="2"/>
      <w:sz w:val="28"/>
      <w:szCs w:val="28"/>
    </w:rPr>
  </w:style>
  <w:style w:type="character" w:customStyle="1" w:styleId="258">
    <w:name w:val="正文文本 3 字符"/>
    <w:semiHidden/>
    <w:qFormat/>
    <w:uiPriority w:val="99"/>
    <w:rPr>
      <w:kern w:val="2"/>
      <w:sz w:val="16"/>
      <w:szCs w:val="16"/>
    </w:rPr>
  </w:style>
  <w:style w:type="character" w:customStyle="1" w:styleId="259">
    <w:name w:val="正文文本缩进 3 字符"/>
    <w:semiHidden/>
    <w:qFormat/>
    <w:uiPriority w:val="99"/>
    <w:rPr>
      <w:kern w:val="2"/>
      <w:sz w:val="16"/>
      <w:szCs w:val="16"/>
    </w:rPr>
  </w:style>
  <w:style w:type="character" w:customStyle="1" w:styleId="260">
    <w:name w:val="正文文本 字符"/>
    <w:semiHidden/>
    <w:qFormat/>
    <w:uiPriority w:val="99"/>
    <w:rPr>
      <w:kern w:val="2"/>
      <w:sz w:val="28"/>
      <w:szCs w:val="28"/>
    </w:rPr>
  </w:style>
  <w:style w:type="character" w:customStyle="1" w:styleId="261">
    <w:name w:val="批注主题 字符"/>
    <w:semiHidden/>
    <w:qFormat/>
    <w:uiPriority w:val="99"/>
    <w:rPr>
      <w:b/>
      <w:bCs/>
      <w:kern w:val="2"/>
      <w:sz w:val="28"/>
      <w:szCs w:val="28"/>
    </w:rPr>
  </w:style>
  <w:style w:type="character" w:customStyle="1" w:styleId="262">
    <w:name w:val="文档结构图 字符"/>
    <w:semiHidden/>
    <w:qFormat/>
    <w:uiPriority w:val="0"/>
    <w:rPr>
      <w:kern w:val="2"/>
      <w:sz w:val="28"/>
      <w:szCs w:val="28"/>
      <w:shd w:val="clear" w:color="auto" w:fill="000080"/>
    </w:rPr>
  </w:style>
  <w:style w:type="character" w:customStyle="1" w:styleId="263">
    <w:name w:val="标题 字符"/>
    <w:qFormat/>
    <w:uiPriority w:val="10"/>
    <w:rPr>
      <w:rFonts w:ascii="等线 Light" w:hAnsi="等线 Light" w:eastAsia="宋体" w:cs="Times New Roman"/>
      <w:b/>
      <w:bCs/>
      <w:kern w:val="2"/>
      <w:sz w:val="32"/>
      <w:szCs w:val="32"/>
    </w:rPr>
  </w:style>
  <w:style w:type="character" w:customStyle="1" w:styleId="264">
    <w:name w:val="正文首行缩进 2 字符"/>
    <w:qFormat/>
    <w:uiPriority w:val="99"/>
    <w:rPr>
      <w:rFonts w:ascii="仿宋_GB2312"/>
      <w:kern w:val="2"/>
      <w:sz w:val="28"/>
      <w:szCs w:val="24"/>
    </w:rPr>
  </w:style>
  <w:style w:type="character" w:customStyle="1" w:styleId="265">
    <w:name w:val="纯文本 字符"/>
    <w:semiHidden/>
    <w:qFormat/>
    <w:uiPriority w:val="99"/>
    <w:rPr>
      <w:rFonts w:ascii="宋体" w:hAnsi="Courier New" w:eastAsia="宋体" w:cs="Courier New"/>
      <w:kern w:val="2"/>
      <w:sz w:val="21"/>
      <w:szCs w:val="21"/>
    </w:rPr>
  </w:style>
  <w:style w:type="character" w:customStyle="1" w:styleId="266">
    <w:name w:val="HTML 预设格式 字符"/>
    <w:qFormat/>
    <w:uiPriority w:val="99"/>
    <w:rPr>
      <w:rFonts w:ascii="宋体" w:hAnsi="宋体" w:eastAsia="宋体" w:cs="宋体"/>
      <w:sz w:val="24"/>
      <w:szCs w:val="24"/>
    </w:rPr>
  </w:style>
  <w:style w:type="character" w:customStyle="1" w:styleId="267">
    <w:name w:val="正文首行缩进 字符"/>
    <w:basedOn w:val="260"/>
    <w:semiHidden/>
    <w:qFormat/>
    <w:uiPriority w:val="99"/>
    <w:rPr>
      <w:kern w:val="2"/>
      <w:sz w:val="28"/>
      <w:szCs w:val="28"/>
    </w:rPr>
  </w:style>
  <w:style w:type="character" w:customStyle="1" w:styleId="268">
    <w:name w:val="正文文本 2 字符"/>
    <w:semiHidden/>
    <w:qFormat/>
    <w:uiPriority w:val="99"/>
    <w:rPr>
      <w:kern w:val="2"/>
      <w:sz w:val="28"/>
      <w:szCs w:val="28"/>
    </w:rPr>
  </w:style>
  <w:style w:type="character" w:customStyle="1" w:styleId="269">
    <w:name w:val="尾注文本 字符"/>
    <w:semiHidden/>
    <w:qFormat/>
    <w:uiPriority w:val="99"/>
    <w:rPr>
      <w:kern w:val="2"/>
      <w:sz w:val="28"/>
      <w:szCs w:val="28"/>
    </w:rPr>
  </w:style>
  <w:style w:type="paragraph" w:customStyle="1" w:styleId="270">
    <w:name w:val="Numbered list 2.1"/>
    <w:basedOn w:val="2"/>
    <w:next w:val="1"/>
    <w:qFormat/>
    <w:uiPriority w:val="0"/>
    <w:pPr>
      <w:keepLines w:val="0"/>
      <w:widowControl/>
      <w:numPr>
        <w:ilvl w:val="0"/>
        <w:numId w:val="6"/>
      </w:numPr>
      <w:tabs>
        <w:tab w:val="left" w:pos="720"/>
      </w:tabs>
      <w:spacing w:before="240" w:after="60" w:line="240" w:lineRule="auto"/>
      <w:ind w:left="0" w:firstLine="0" w:firstLineChars="0"/>
      <w:jc w:val="left"/>
    </w:pPr>
    <w:rPr>
      <w:rFonts w:ascii="Futura Bk" w:hAnsi="Futura Bk" w:eastAsia="宋体"/>
      <w:bCs w:val="0"/>
      <w:kern w:val="28"/>
      <w:sz w:val="28"/>
      <w:szCs w:val="20"/>
      <w:lang w:val="en-GB"/>
    </w:rPr>
  </w:style>
  <w:style w:type="paragraph" w:customStyle="1" w:styleId="271">
    <w:name w:val="Numbered list 2.2"/>
    <w:basedOn w:val="3"/>
    <w:next w:val="1"/>
    <w:qFormat/>
    <w:uiPriority w:val="0"/>
    <w:pPr>
      <w:keepLines w:val="0"/>
      <w:widowControl/>
      <w:numPr>
        <w:ilvl w:val="1"/>
        <w:numId w:val="6"/>
      </w:numPr>
      <w:tabs>
        <w:tab w:val="left" w:pos="360"/>
        <w:tab w:val="left" w:pos="720"/>
        <w:tab w:val="clear" w:pos="5490"/>
        <w:tab w:val="clear" w:pos="708"/>
      </w:tabs>
      <w:spacing w:before="240" w:after="60" w:line="240" w:lineRule="auto"/>
      <w:ind w:left="0" w:firstLine="0"/>
      <w:jc w:val="left"/>
      <w:textAlignment w:val="auto"/>
    </w:pPr>
    <w:rPr>
      <w:rFonts w:ascii="Futura Bk" w:hAnsi="Futura Bk" w:eastAsia="Times New Roman"/>
      <w:bCs w:val="0"/>
      <w:sz w:val="24"/>
      <w:szCs w:val="20"/>
      <w:lang w:val="en-GB"/>
    </w:rPr>
  </w:style>
  <w:style w:type="paragraph" w:customStyle="1" w:styleId="272">
    <w:name w:val="Numbered list 2.3"/>
    <w:basedOn w:val="4"/>
    <w:next w:val="1"/>
    <w:qFormat/>
    <w:uiPriority w:val="0"/>
    <w:pPr>
      <w:keepLines w:val="0"/>
      <w:widowControl/>
      <w:numPr>
        <w:ilvl w:val="2"/>
        <w:numId w:val="6"/>
      </w:numPr>
      <w:tabs>
        <w:tab w:val="left" w:pos="360"/>
        <w:tab w:val="left" w:pos="1080"/>
        <w:tab w:val="clear" w:pos="1440"/>
      </w:tabs>
      <w:spacing w:before="240" w:after="60" w:line="240" w:lineRule="auto"/>
      <w:ind w:left="0" w:firstLine="0"/>
      <w:jc w:val="left"/>
    </w:pPr>
    <w:rPr>
      <w:rFonts w:ascii="Futura Bk" w:hAnsi="Futura Bk"/>
      <w:bCs w:val="0"/>
      <w:sz w:val="22"/>
      <w:szCs w:val="20"/>
      <w:lang w:val="en-GB"/>
    </w:rPr>
  </w:style>
  <w:style w:type="paragraph" w:customStyle="1" w:styleId="273">
    <w:name w:val="Numbered list 2.4"/>
    <w:basedOn w:val="5"/>
    <w:next w:val="1"/>
    <w:qFormat/>
    <w:uiPriority w:val="0"/>
    <w:pPr>
      <w:keepLines w:val="0"/>
      <w:widowControl/>
      <w:numPr>
        <w:ilvl w:val="3"/>
        <w:numId w:val="6"/>
      </w:numPr>
      <w:tabs>
        <w:tab w:val="left" w:pos="360"/>
        <w:tab w:val="left" w:pos="1080"/>
        <w:tab w:val="left" w:pos="1440"/>
        <w:tab w:val="left" w:pos="1800"/>
        <w:tab w:val="clear" w:pos="2160"/>
      </w:tabs>
      <w:spacing w:before="240" w:after="60" w:line="240" w:lineRule="auto"/>
      <w:ind w:left="0" w:firstLine="0"/>
      <w:jc w:val="left"/>
    </w:pPr>
    <w:rPr>
      <w:rFonts w:ascii="Futura Bk" w:hAnsi="Futura Bk"/>
      <w:bCs w:val="0"/>
      <w:sz w:val="20"/>
      <w:szCs w:val="20"/>
      <w:lang w:val="en-GB"/>
    </w:rPr>
  </w:style>
  <w:style w:type="table" w:customStyle="1" w:styleId="274">
    <w:name w:val="网格型2"/>
    <w:basedOn w:val="5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75">
    <w:name w:val="网格型3"/>
    <w:basedOn w:val="5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76">
    <w:name w:val="网格型4"/>
    <w:basedOn w:val="5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77">
    <w:name w:val="网格型5"/>
    <w:basedOn w:val="5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78">
    <w:name w:val="网格型6"/>
    <w:basedOn w:val="5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79">
    <w:name w:val="网格型7"/>
    <w:basedOn w:val="55"/>
    <w:qFormat/>
    <w:uiPriority w:val="59"/>
    <w:pPr>
      <w:snapToGrid w:val="0"/>
      <w:jc w:val="center"/>
    </w:pPr>
    <w:rPr>
      <w:rFonts w:eastAsia="新宋体"/>
    </w:rPr>
    <w:tblP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85" w:type="dxa"/>
        <w:left w:w="85" w:type="dxa"/>
        <w:bottom w:w="85" w:type="dxa"/>
        <w:right w:w="85" w:type="dxa"/>
      </w:tblCellMar>
    </w:tblPr>
    <w:trPr>
      <w:cantSplit/>
    </w:trPr>
    <w:tcPr>
      <w:vAlign w:val="center"/>
    </w:tcPr>
    <w:tblStylePr w:type="firstRow">
      <w:rPr>
        <w:rFonts w:ascii="Times New Roman" w:hAnsi="Times New Roman" w:eastAsia="仿宋_GB2312"/>
        <w:b/>
        <w:i w:val="0"/>
        <w:caps w:val="0"/>
        <w:smallCaps w:val="0"/>
        <w:strike w:val="0"/>
        <w:dstrike w:val="0"/>
        <w:vanish w:val="0"/>
        <w:color w:val="auto"/>
        <w:sz w:val="21"/>
        <w:u w:val="none"/>
        <w:vertAlign w:val="baseline"/>
      </w:rPr>
      <w:tblPr>
        <w:tblLayout w:type="fixed"/>
      </w:tblPr>
      <w:trPr>
        <w:tblHeader/>
      </w:trPr>
      <w:tcPr>
        <w:tcBorders>
          <w:top w:val="single" w:color="auto" w:sz="8" w:space="0"/>
          <w:left w:val="single" w:color="auto" w:sz="8" w:space="0"/>
          <w:bottom w:val="single" w:color="auto" w:sz="8" w:space="0"/>
          <w:right w:val="single" w:color="auto" w:sz="8" w:space="0"/>
          <w:insideH w:val="nil"/>
          <w:insideV w:val="single" w:sz="8" w:space="0"/>
          <w:tl2br w:val="nil"/>
          <w:tr2bl w:val="nil"/>
        </w:tcBorders>
        <w:shd w:val="clear" w:color="auto" w:fill="F2F2F2"/>
      </w:tcPr>
    </w:tblStylePr>
  </w:style>
  <w:style w:type="table" w:customStyle="1" w:styleId="280">
    <w:name w:val="网格型8"/>
    <w:basedOn w:val="55"/>
    <w:qFormat/>
    <w:uiPriority w:val="59"/>
    <w:pPr>
      <w:snapToGrid w:val="0"/>
      <w:jc w:val="center"/>
    </w:pPr>
    <w:rPr>
      <w:rFonts w:eastAsia="新宋体"/>
    </w:rPr>
    <w:tblP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85" w:type="dxa"/>
        <w:left w:w="85" w:type="dxa"/>
        <w:bottom w:w="85" w:type="dxa"/>
        <w:right w:w="85" w:type="dxa"/>
      </w:tblCellMar>
    </w:tblPr>
    <w:trPr>
      <w:cantSplit/>
    </w:trPr>
    <w:tcPr>
      <w:vAlign w:val="center"/>
    </w:tcPr>
    <w:tblStylePr w:type="firstRow">
      <w:rPr>
        <w:rFonts w:ascii="Times New Roman" w:hAnsi="Times New Roman" w:eastAsia="仿宋_GB2312"/>
        <w:b/>
        <w:i w:val="0"/>
        <w:caps w:val="0"/>
        <w:smallCaps w:val="0"/>
        <w:strike w:val="0"/>
        <w:dstrike w:val="0"/>
        <w:vanish w:val="0"/>
        <w:color w:val="auto"/>
        <w:sz w:val="21"/>
        <w:u w:val="none"/>
        <w:vertAlign w:val="baseline"/>
      </w:rPr>
      <w:tblPr>
        <w:tblLayout w:type="fixed"/>
      </w:tblPr>
      <w:trPr>
        <w:tblHeader/>
      </w:trPr>
      <w:tcPr>
        <w:tcBorders>
          <w:top w:val="single" w:color="auto" w:sz="8" w:space="0"/>
          <w:left w:val="single" w:color="auto" w:sz="8" w:space="0"/>
          <w:bottom w:val="single" w:color="auto" w:sz="8" w:space="0"/>
          <w:right w:val="single" w:color="auto" w:sz="8" w:space="0"/>
          <w:insideH w:val="nil"/>
          <w:insideV w:val="single" w:sz="8" w:space="0"/>
          <w:tl2br w:val="nil"/>
          <w:tr2bl w:val="nil"/>
        </w:tcBorders>
        <w:shd w:val="clear" w:color="auto" w:fill="F2F2F2"/>
      </w:tcPr>
    </w:tblStylePr>
  </w:style>
  <w:style w:type="paragraph" w:customStyle="1" w:styleId="281">
    <w:name w:val="列出段落2"/>
    <w:basedOn w:val="1"/>
    <w:unhideWhenUsed/>
    <w:qFormat/>
    <w:uiPriority w:val="99"/>
    <w:pPr>
      <w:ind w:firstLine="420" w:firstLineChars="200"/>
    </w:pPr>
  </w:style>
  <w:style w:type="paragraph" w:customStyle="1" w:styleId="282">
    <w:name w:val="修订2"/>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283">
    <w:name w:val="列出段落3"/>
    <w:basedOn w:val="1"/>
    <w:qFormat/>
    <w:uiPriority w:val="0"/>
    <w:pPr>
      <w:widowControl/>
      <w:ind w:firstLine="420" w:firstLineChars="200"/>
      <w:jc w:val="left"/>
    </w:pPr>
    <w:rPr>
      <w:rFonts w:ascii="宋体" w:hAnsi="宋体" w:eastAsia="宋体"/>
      <w:kern w:val="0"/>
      <w:sz w:val="24"/>
      <w:szCs w:val="24"/>
    </w:rPr>
  </w:style>
  <w:style w:type="paragraph" w:customStyle="1" w:styleId="284">
    <w:name w:val="列出段落4"/>
    <w:basedOn w:val="1"/>
    <w:qFormat/>
    <w:uiPriority w:val="34"/>
    <w:pPr>
      <w:ind w:firstLine="420" w:firstLineChars="200"/>
    </w:pPr>
  </w:style>
  <w:style w:type="paragraph" w:customStyle="1" w:styleId="285">
    <w:name w:val="列出段落5"/>
    <w:basedOn w:val="1"/>
    <w:qFormat/>
    <w:uiPriority w:val="0"/>
    <w:pPr>
      <w:widowControl/>
      <w:ind w:firstLine="420" w:firstLineChars="200"/>
      <w:jc w:val="left"/>
    </w:pPr>
    <w:rPr>
      <w:rFonts w:ascii="宋体" w:hAnsi="宋体" w:eastAsia="宋体"/>
      <w:kern w:val="0"/>
      <w:sz w:val="24"/>
      <w:szCs w:val="24"/>
    </w:rPr>
  </w:style>
  <w:style w:type="paragraph" w:customStyle="1" w:styleId="286">
    <w:name w:val="LSJ正文"/>
    <w:qFormat/>
    <w:uiPriority w:val="0"/>
    <w:pPr>
      <w:spacing w:line="360" w:lineRule="auto"/>
      <w:ind w:firstLine="560" w:firstLineChars="200"/>
      <w:jc w:val="both"/>
    </w:pPr>
    <w:rPr>
      <w:rFonts w:ascii="Tahoma" w:hAnsi="Tahoma" w:eastAsia="宋体" w:cs="宋体"/>
      <w:sz w:val="24"/>
      <w:lang w:val="en-US" w:eastAsia="zh-CN" w:bidi="ar-SA"/>
    </w:rPr>
  </w:style>
  <w:style w:type="paragraph" w:customStyle="1" w:styleId="287">
    <w:name w:val="列出段落6"/>
    <w:basedOn w:val="1"/>
    <w:qFormat/>
    <w:uiPriority w:val="34"/>
    <w:pPr>
      <w:ind w:firstLine="420" w:firstLineChars="200"/>
    </w:pPr>
  </w:style>
  <w:style w:type="paragraph" w:customStyle="1" w:styleId="288">
    <w:name w:val="_Style 5"/>
    <w:basedOn w:val="1"/>
    <w:qFormat/>
    <w:uiPriority w:val="0"/>
    <w:pPr>
      <w:ind w:firstLine="420" w:firstLineChars="200"/>
    </w:pPr>
    <w:rPr>
      <w:rFonts w:ascii="Calibri" w:hAnsi="Calibri"/>
    </w:rPr>
  </w:style>
  <w:style w:type="paragraph" w:customStyle="1" w:styleId="289">
    <w:name w:val="列出段落7"/>
    <w:basedOn w:val="1"/>
    <w:qFormat/>
    <w:uiPriority w:val="0"/>
    <w:pPr>
      <w:ind w:firstLine="420" w:firstLineChars="200"/>
    </w:pPr>
    <w:rPr>
      <w:rFonts w:ascii="Calibri" w:hAnsi="Calibri"/>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3.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comments" Target="comment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jpeg"/><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36937F-6AEB-4682-97FB-59C4F3382D46}">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76</Pages>
  <Words>6495</Words>
  <Characters>37022</Characters>
  <Lines>308</Lines>
  <Paragraphs>86</Paragraphs>
  <TotalTime>27</TotalTime>
  <ScaleCrop>false</ScaleCrop>
  <LinksUpToDate>false</LinksUpToDate>
  <CharactersWithSpaces>43431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2019-09-12T01:31:00Z</dcterms:created>
  <dc:creator>NTKO</dc:creator>
  <cp:lastModifiedBy>NTKO</cp:lastModifiedBy>
  <cp:lastPrinted>2019-10-21T02:18:00Z</cp:lastPrinted>
  <dcterms:modified xsi:type="dcterms:W3CDTF">2019-10-24T07:33:36Z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