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宋体" w:hAnsi="宋体" w:eastAsia="宋体" w:cs="宋体"/>
          <w:b/>
          <w:sz w:val="36"/>
          <w:szCs w:val="36"/>
        </w:rPr>
      </w:pPr>
      <w:bookmarkStart w:id="0" w:name="OLE_LINK1"/>
      <w:bookmarkStart w:id="1" w:name="OLE_LINK2"/>
      <w:r>
        <w:rPr>
          <w:rFonts w:hint="eastAsia" w:ascii="宋体" w:hAnsi="宋体" w:eastAsia="宋体" w:cs="宋体"/>
          <w:b/>
          <w:sz w:val="36"/>
          <w:szCs w:val="36"/>
        </w:rPr>
        <w:t>拟中标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结果</w:t>
      </w:r>
      <w:r>
        <w:rPr>
          <w:rFonts w:hint="eastAsia" w:ascii="宋体" w:hAnsi="宋体" w:eastAsia="宋体" w:cs="宋体"/>
          <w:b/>
          <w:sz w:val="36"/>
          <w:szCs w:val="36"/>
        </w:rPr>
        <w:t>公示表</w:t>
      </w:r>
    </w:p>
    <w:p>
      <w:pPr>
        <w:jc w:val="center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(公示期：202</w:t>
      </w:r>
      <w:r>
        <w:rPr>
          <w:rFonts w:hint="eastAsia" w:ascii="宋体" w:hAnsi="宋体" w:eastAsia="宋体" w:cs="宋体"/>
          <w:b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24"/>
        </w:rPr>
        <w:t>年</w:t>
      </w:r>
      <w:r>
        <w:rPr>
          <w:rFonts w:hint="eastAsia" w:ascii="宋体" w:hAnsi="宋体" w:cs="宋体"/>
          <w:b/>
          <w:sz w:val="24"/>
          <w:lang w:val="en-US" w:eastAsia="zh-CN"/>
        </w:rPr>
        <w:t>11</w:t>
      </w:r>
      <w:r>
        <w:rPr>
          <w:rFonts w:hint="eastAsia" w:ascii="宋体" w:hAnsi="宋体" w:eastAsia="宋体" w:cs="宋体"/>
          <w:b/>
          <w:sz w:val="24"/>
        </w:rPr>
        <w:t>月</w:t>
      </w:r>
      <w:r>
        <w:rPr>
          <w:rFonts w:hint="eastAsia" w:ascii="宋体" w:hAnsi="宋体" w:cs="宋体"/>
          <w:b/>
          <w:sz w:val="24"/>
          <w:lang w:val="en-US" w:eastAsia="zh-CN"/>
        </w:rPr>
        <w:t>14</w:t>
      </w:r>
      <w:r>
        <w:rPr>
          <w:rFonts w:hint="eastAsia" w:ascii="宋体" w:hAnsi="宋体" w:eastAsia="宋体" w:cs="宋体"/>
          <w:b/>
          <w:sz w:val="24"/>
        </w:rPr>
        <w:t>日—202</w:t>
      </w:r>
      <w:r>
        <w:rPr>
          <w:rFonts w:hint="eastAsia" w:ascii="宋体" w:hAnsi="宋体" w:eastAsia="宋体" w:cs="宋体"/>
          <w:b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24"/>
        </w:rPr>
        <w:t>年</w:t>
      </w:r>
      <w:r>
        <w:rPr>
          <w:rFonts w:hint="eastAsia" w:ascii="宋体" w:hAnsi="宋体" w:cs="宋体"/>
          <w:b/>
          <w:sz w:val="24"/>
          <w:lang w:val="en-US" w:eastAsia="zh-CN"/>
        </w:rPr>
        <w:t>11</w:t>
      </w:r>
      <w:r>
        <w:rPr>
          <w:rFonts w:hint="eastAsia" w:ascii="宋体" w:hAnsi="宋体" w:eastAsia="宋体" w:cs="宋体"/>
          <w:b/>
          <w:sz w:val="24"/>
        </w:rPr>
        <w:t>月</w:t>
      </w:r>
      <w:r>
        <w:rPr>
          <w:rFonts w:hint="eastAsia" w:ascii="宋体" w:hAnsi="宋体" w:cs="宋体"/>
          <w:b/>
          <w:sz w:val="24"/>
          <w:lang w:val="en-US" w:eastAsia="zh-CN"/>
        </w:rPr>
        <w:t>16</w:t>
      </w:r>
      <w:r>
        <w:rPr>
          <w:rFonts w:hint="eastAsia" w:ascii="宋体" w:hAnsi="宋体" w:eastAsia="宋体" w:cs="宋体"/>
          <w:b/>
          <w:sz w:val="24"/>
        </w:rPr>
        <w:t>日)</w:t>
      </w:r>
    </w:p>
    <w:tbl>
      <w:tblPr>
        <w:tblStyle w:val="11"/>
        <w:tblW w:w="96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9"/>
        <w:gridCol w:w="1857"/>
        <w:gridCol w:w="926"/>
        <w:gridCol w:w="1851"/>
        <w:gridCol w:w="1262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 目 名 称</w:t>
            </w:r>
          </w:p>
        </w:tc>
        <w:tc>
          <w:tcPr>
            <w:tcW w:w="78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渝湘复线彭酉段（K15+270～K105+360）机电设备采购项目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招标公告编号</w:t>
            </w:r>
          </w:p>
        </w:tc>
        <w:tc>
          <w:tcPr>
            <w:tcW w:w="78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0611-2300780732B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   标   人</w:t>
            </w:r>
          </w:p>
        </w:tc>
        <w:tc>
          <w:tcPr>
            <w:tcW w:w="4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重庆首讯科技股份有限公司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中国铁建电气化局集团有限公司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中铁建设集团有限公司</w:t>
            </w:r>
          </w:p>
        </w:tc>
        <w:tc>
          <w:tcPr>
            <w:tcW w:w="12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18523731590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招标代理机构</w:t>
            </w:r>
          </w:p>
        </w:tc>
        <w:tc>
          <w:tcPr>
            <w:tcW w:w="4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重庆市投资咨询有限公司</w:t>
            </w:r>
          </w:p>
        </w:tc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13983603174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8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包件2：户外机柜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第一中标候选人</w:t>
            </w:r>
          </w:p>
        </w:tc>
        <w:tc>
          <w:tcPr>
            <w:tcW w:w="59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重庆顺曜科技发展有限公司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8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第二中标候选人</w:t>
            </w:r>
          </w:p>
        </w:tc>
        <w:tc>
          <w:tcPr>
            <w:tcW w:w="59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北京三友信电子科技有限公司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8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第三中标候选人</w:t>
            </w:r>
          </w:p>
        </w:tc>
        <w:tc>
          <w:tcPr>
            <w:tcW w:w="59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重庆乔凯科技有限公司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8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拟中标人</w:t>
            </w:r>
          </w:p>
        </w:tc>
        <w:tc>
          <w:tcPr>
            <w:tcW w:w="2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重庆顺曜科技发展有限公司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中标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金额（元）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1784500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8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投诉受理部门</w:t>
            </w:r>
          </w:p>
        </w:tc>
        <w:tc>
          <w:tcPr>
            <w:tcW w:w="463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重庆首讯科技股份有限公司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中国铁建电气化局集团有限公司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中铁建设集团有限公司</w:t>
            </w:r>
          </w:p>
        </w:tc>
        <w:tc>
          <w:tcPr>
            <w:tcW w:w="12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18523731590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3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3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  <w:jc w:val="center"/>
        </w:trPr>
        <w:tc>
          <w:tcPr>
            <w:tcW w:w="46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招标人：重庆首讯科技股份有限公司、</w:t>
            </w:r>
          </w:p>
          <w:p>
            <w:pPr>
              <w:ind w:firstLine="840" w:firstLineChars="40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中国铁建电气化局集团有限公司、</w:t>
            </w:r>
          </w:p>
          <w:p>
            <w:pPr>
              <w:ind w:firstLine="840" w:firstLineChars="4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中铁建设集团有限公司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  <w:tc>
          <w:tcPr>
            <w:tcW w:w="50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招标代理机构：重庆市投资咨询有限公司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</w:tr>
    </w:tbl>
    <w:p>
      <w:pPr>
        <w:ind w:left="-619" w:leftChars="-295" w:right="-506" w:rightChars="-241" w:firstLine="0" w:firstLineChars="0"/>
        <w:jc w:val="both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备注：1、投标人或者其他利害关系人对中标结果公示有异议的，应当先向招标人提出异议，由招标人及其招标代理机构答复；对答复不满意的，才能向有关行政部门投诉。投诉应当按照《工程建设项目招标投标活动投诉处理办法》（国家发展改革委等七部委令第11号）和《重庆市招标投标活动投诉处理实施细则》（渝发改标[2014]1168号）执行。</w:t>
      </w:r>
    </w:p>
    <w:p>
      <w:pPr>
        <w:ind w:left="-619" w:leftChars="-295" w:firstLine="0" w:firstLineChars="0"/>
        <w:jc w:val="both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2、项目如划分多个标段(合同包)的，应按不同合同段分别填写“标段(合同包)名称”、“中标候选人及排序”、“拟中标人”。自行招标的，招标代理机构一栏不填；</w:t>
      </w:r>
      <w:bookmarkEnd w:id="0"/>
      <w:bookmarkEnd w:id="1"/>
    </w:p>
    <w:p>
      <w:pPr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p>
      <w:pPr>
        <w:spacing w:line="500" w:lineRule="exact"/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拟中标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结果</w:t>
      </w:r>
      <w:r>
        <w:rPr>
          <w:rFonts w:hint="eastAsia" w:ascii="宋体" w:hAnsi="宋体" w:eastAsia="宋体" w:cs="宋体"/>
          <w:b/>
          <w:sz w:val="36"/>
          <w:szCs w:val="36"/>
        </w:rPr>
        <w:t>公示表</w:t>
      </w:r>
    </w:p>
    <w:p>
      <w:pPr>
        <w:jc w:val="center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(公示期：202</w:t>
      </w:r>
      <w:r>
        <w:rPr>
          <w:rFonts w:hint="eastAsia" w:ascii="宋体" w:hAnsi="宋体" w:eastAsia="宋体" w:cs="宋体"/>
          <w:b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24"/>
        </w:rPr>
        <w:t>年</w:t>
      </w:r>
      <w:r>
        <w:rPr>
          <w:rFonts w:hint="eastAsia" w:ascii="宋体" w:hAnsi="宋体" w:cs="宋体"/>
          <w:b/>
          <w:sz w:val="24"/>
          <w:lang w:val="en-US" w:eastAsia="zh-CN"/>
        </w:rPr>
        <w:t>11</w:t>
      </w:r>
      <w:r>
        <w:rPr>
          <w:rFonts w:hint="eastAsia" w:ascii="宋体" w:hAnsi="宋体" w:eastAsia="宋体" w:cs="宋体"/>
          <w:b/>
          <w:sz w:val="24"/>
        </w:rPr>
        <w:t>月</w:t>
      </w:r>
      <w:r>
        <w:rPr>
          <w:rFonts w:hint="eastAsia" w:ascii="宋体" w:hAnsi="宋体" w:cs="宋体"/>
          <w:b/>
          <w:sz w:val="24"/>
          <w:lang w:val="en-US" w:eastAsia="zh-CN"/>
        </w:rPr>
        <w:t>14</w:t>
      </w:r>
      <w:r>
        <w:rPr>
          <w:rFonts w:hint="eastAsia" w:ascii="宋体" w:hAnsi="宋体" w:eastAsia="宋体" w:cs="宋体"/>
          <w:b/>
          <w:sz w:val="24"/>
        </w:rPr>
        <w:t>日—202</w:t>
      </w:r>
      <w:r>
        <w:rPr>
          <w:rFonts w:hint="eastAsia" w:ascii="宋体" w:hAnsi="宋体" w:eastAsia="宋体" w:cs="宋体"/>
          <w:b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24"/>
        </w:rPr>
        <w:t>年</w:t>
      </w:r>
      <w:r>
        <w:rPr>
          <w:rFonts w:hint="eastAsia" w:ascii="宋体" w:hAnsi="宋体" w:cs="宋体"/>
          <w:b/>
          <w:sz w:val="24"/>
          <w:lang w:val="en-US" w:eastAsia="zh-CN"/>
        </w:rPr>
        <w:t>11</w:t>
      </w:r>
      <w:r>
        <w:rPr>
          <w:rFonts w:hint="eastAsia" w:ascii="宋体" w:hAnsi="宋体" w:eastAsia="宋体" w:cs="宋体"/>
          <w:b/>
          <w:sz w:val="24"/>
        </w:rPr>
        <w:t>月</w:t>
      </w:r>
      <w:r>
        <w:rPr>
          <w:rFonts w:hint="eastAsia" w:ascii="宋体" w:hAnsi="宋体" w:cs="宋体"/>
          <w:b/>
          <w:sz w:val="24"/>
          <w:lang w:val="en-US" w:eastAsia="zh-CN"/>
        </w:rPr>
        <w:t>16</w:t>
      </w:r>
      <w:r>
        <w:rPr>
          <w:rFonts w:hint="eastAsia" w:ascii="宋体" w:hAnsi="宋体" w:eastAsia="宋体" w:cs="宋体"/>
          <w:b/>
          <w:sz w:val="24"/>
        </w:rPr>
        <w:t>日)</w:t>
      </w:r>
    </w:p>
    <w:tbl>
      <w:tblPr>
        <w:tblStyle w:val="11"/>
        <w:tblW w:w="96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9"/>
        <w:gridCol w:w="1857"/>
        <w:gridCol w:w="926"/>
        <w:gridCol w:w="1851"/>
        <w:gridCol w:w="1262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 目 名 称</w:t>
            </w:r>
          </w:p>
        </w:tc>
        <w:tc>
          <w:tcPr>
            <w:tcW w:w="78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渝湘复线彭酉段（K15+270～K105+360）机电设备采购项目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招标公告编号</w:t>
            </w:r>
          </w:p>
        </w:tc>
        <w:tc>
          <w:tcPr>
            <w:tcW w:w="78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0611-2300780732B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   标   人</w:t>
            </w:r>
          </w:p>
        </w:tc>
        <w:tc>
          <w:tcPr>
            <w:tcW w:w="4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重庆首讯科技股份有限公司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中国铁建电气化局集团有限公司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中铁建设集团有限公司</w:t>
            </w:r>
          </w:p>
        </w:tc>
        <w:tc>
          <w:tcPr>
            <w:tcW w:w="12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18523731590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招标代理机构</w:t>
            </w:r>
          </w:p>
        </w:tc>
        <w:tc>
          <w:tcPr>
            <w:tcW w:w="4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重庆市投资咨询有限公司</w:t>
            </w:r>
          </w:p>
        </w:tc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13983603174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8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包件3：服务器及工作站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第一中标候选人</w:t>
            </w:r>
          </w:p>
        </w:tc>
        <w:tc>
          <w:tcPr>
            <w:tcW w:w="59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重庆顺曜科技发展有限公司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8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第二中标候选人</w:t>
            </w:r>
          </w:p>
        </w:tc>
        <w:tc>
          <w:tcPr>
            <w:tcW w:w="59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上海华讯网络系统有限公司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8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第三中标候选人</w:t>
            </w:r>
          </w:p>
        </w:tc>
        <w:tc>
          <w:tcPr>
            <w:tcW w:w="59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中交一公局重庆永江高速公路投资建设有限公司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8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拟中标人</w:t>
            </w:r>
          </w:p>
        </w:tc>
        <w:tc>
          <w:tcPr>
            <w:tcW w:w="2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重庆顺曜科技发展有限公司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中标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金额（元）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3956000.00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8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投诉受理部门</w:t>
            </w:r>
          </w:p>
        </w:tc>
        <w:tc>
          <w:tcPr>
            <w:tcW w:w="463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重庆首讯科技股份有限公司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中国铁建电气化局集团有限公司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中铁建设集团有限公司</w:t>
            </w:r>
          </w:p>
        </w:tc>
        <w:tc>
          <w:tcPr>
            <w:tcW w:w="12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18523731590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3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3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  <w:jc w:val="center"/>
        </w:trPr>
        <w:tc>
          <w:tcPr>
            <w:tcW w:w="46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招标人：重庆首讯科技股份有限公司、</w:t>
            </w:r>
          </w:p>
          <w:p>
            <w:pPr>
              <w:ind w:firstLine="840" w:firstLineChars="40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中国铁建电气化局集团有限公司、</w:t>
            </w:r>
          </w:p>
          <w:p>
            <w:pPr>
              <w:ind w:firstLine="840" w:firstLineChars="4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中铁建设集团有限公司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  <w:tc>
          <w:tcPr>
            <w:tcW w:w="50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招标代理机构：重庆市投资咨询有限公司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</w:tr>
    </w:tbl>
    <w:p>
      <w:pPr>
        <w:ind w:left="-619" w:leftChars="-295" w:right="-506" w:rightChars="-241" w:firstLine="0" w:firstLineChars="0"/>
        <w:jc w:val="both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备注：1、投标人或者其他利害关系人对中标结果公示有异议的，应当先向招标人提出异议，由招标人及其招标代理机构答复；对答复不满意的，才能向有关行政部门投诉。投诉应当按照《工程建设项目招标投标活动投诉处理办法》（国家发展改革委等七部委令第11号）和《重庆市招标投标活动投诉处理实施细则》（渝发改标[2014]1168号）执行。</w:t>
      </w:r>
    </w:p>
    <w:p>
      <w:pPr>
        <w:ind w:left="-619" w:leftChars="-295" w:firstLine="0" w:firstLineChars="0"/>
        <w:jc w:val="both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2、项目如划分多个标段(合同包)的，应按不同合同段分别填写“标段(合同包)名称”、“中标候选人及排序”、“拟中标人”。自行招标的，招标代理机构一栏不填；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br w:type="page"/>
      </w:r>
    </w:p>
    <w:p>
      <w:pPr>
        <w:spacing w:line="500" w:lineRule="exact"/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拟中标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结果</w:t>
      </w:r>
      <w:r>
        <w:rPr>
          <w:rFonts w:hint="eastAsia" w:ascii="宋体" w:hAnsi="宋体" w:eastAsia="宋体" w:cs="宋体"/>
          <w:b/>
          <w:sz w:val="36"/>
          <w:szCs w:val="36"/>
        </w:rPr>
        <w:t>公示表</w:t>
      </w:r>
    </w:p>
    <w:p>
      <w:pPr>
        <w:jc w:val="center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(公示期：202</w:t>
      </w:r>
      <w:r>
        <w:rPr>
          <w:rFonts w:hint="eastAsia" w:ascii="宋体" w:hAnsi="宋体" w:eastAsia="宋体" w:cs="宋体"/>
          <w:b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24"/>
        </w:rPr>
        <w:t>年</w:t>
      </w:r>
      <w:r>
        <w:rPr>
          <w:rFonts w:hint="eastAsia" w:ascii="宋体" w:hAnsi="宋体" w:cs="宋体"/>
          <w:b/>
          <w:sz w:val="24"/>
          <w:lang w:val="en-US" w:eastAsia="zh-CN"/>
        </w:rPr>
        <w:t>11</w:t>
      </w:r>
      <w:r>
        <w:rPr>
          <w:rFonts w:hint="eastAsia" w:ascii="宋体" w:hAnsi="宋体" w:eastAsia="宋体" w:cs="宋体"/>
          <w:b/>
          <w:sz w:val="24"/>
        </w:rPr>
        <w:t>月</w:t>
      </w:r>
      <w:r>
        <w:rPr>
          <w:rFonts w:hint="eastAsia" w:ascii="宋体" w:hAnsi="宋体" w:cs="宋体"/>
          <w:b/>
          <w:sz w:val="24"/>
          <w:lang w:val="en-US" w:eastAsia="zh-CN"/>
        </w:rPr>
        <w:t>14</w:t>
      </w:r>
      <w:r>
        <w:rPr>
          <w:rFonts w:hint="eastAsia" w:ascii="宋体" w:hAnsi="宋体" w:eastAsia="宋体" w:cs="宋体"/>
          <w:b/>
          <w:sz w:val="24"/>
        </w:rPr>
        <w:t>日—202</w:t>
      </w:r>
      <w:r>
        <w:rPr>
          <w:rFonts w:hint="eastAsia" w:ascii="宋体" w:hAnsi="宋体" w:eastAsia="宋体" w:cs="宋体"/>
          <w:b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24"/>
        </w:rPr>
        <w:t>年</w:t>
      </w:r>
      <w:r>
        <w:rPr>
          <w:rFonts w:hint="eastAsia" w:ascii="宋体" w:hAnsi="宋体" w:cs="宋体"/>
          <w:b/>
          <w:sz w:val="24"/>
          <w:lang w:val="en-US" w:eastAsia="zh-CN"/>
        </w:rPr>
        <w:t>11</w:t>
      </w:r>
      <w:r>
        <w:rPr>
          <w:rFonts w:hint="eastAsia" w:ascii="宋体" w:hAnsi="宋体" w:eastAsia="宋体" w:cs="宋体"/>
          <w:b/>
          <w:sz w:val="24"/>
        </w:rPr>
        <w:t>月</w:t>
      </w:r>
      <w:r>
        <w:rPr>
          <w:rFonts w:hint="eastAsia" w:ascii="宋体" w:hAnsi="宋体" w:cs="宋体"/>
          <w:b/>
          <w:sz w:val="24"/>
          <w:lang w:val="en-US" w:eastAsia="zh-CN"/>
        </w:rPr>
        <w:t>16</w:t>
      </w:r>
      <w:r>
        <w:rPr>
          <w:rFonts w:hint="eastAsia" w:ascii="宋体" w:hAnsi="宋体" w:eastAsia="宋体" w:cs="宋体"/>
          <w:b/>
          <w:sz w:val="24"/>
        </w:rPr>
        <w:t>日)</w:t>
      </w:r>
    </w:p>
    <w:tbl>
      <w:tblPr>
        <w:tblStyle w:val="11"/>
        <w:tblW w:w="96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9"/>
        <w:gridCol w:w="1857"/>
        <w:gridCol w:w="926"/>
        <w:gridCol w:w="1851"/>
        <w:gridCol w:w="1262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 目 名 称</w:t>
            </w:r>
          </w:p>
        </w:tc>
        <w:tc>
          <w:tcPr>
            <w:tcW w:w="78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渝湘复线彭酉段（K15+270～K105+360）机电设备采购项目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招标公告编号</w:t>
            </w:r>
          </w:p>
        </w:tc>
        <w:tc>
          <w:tcPr>
            <w:tcW w:w="78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0611-2300780732B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   标   人</w:t>
            </w:r>
          </w:p>
        </w:tc>
        <w:tc>
          <w:tcPr>
            <w:tcW w:w="4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重庆首讯科技股份有限公司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中国铁建电气化局集团有限公司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中铁建设集团有限公司</w:t>
            </w:r>
          </w:p>
        </w:tc>
        <w:tc>
          <w:tcPr>
            <w:tcW w:w="12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18523731590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招标代理机构</w:t>
            </w:r>
          </w:p>
        </w:tc>
        <w:tc>
          <w:tcPr>
            <w:tcW w:w="4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重庆市投资咨询有限公司</w:t>
            </w:r>
          </w:p>
        </w:tc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13983603174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8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包件4：费显及信号灯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第一中标候选人</w:t>
            </w:r>
          </w:p>
        </w:tc>
        <w:tc>
          <w:tcPr>
            <w:tcW w:w="59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重庆创迪科技发展有限公司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8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第二中标候选人</w:t>
            </w:r>
          </w:p>
        </w:tc>
        <w:tc>
          <w:tcPr>
            <w:tcW w:w="59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深圳市电明科技股份有限公司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8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第三中标候选人</w:t>
            </w:r>
          </w:p>
        </w:tc>
        <w:tc>
          <w:tcPr>
            <w:tcW w:w="59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河北兴陆电子科技有限公司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8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拟中标人</w:t>
            </w:r>
          </w:p>
        </w:tc>
        <w:tc>
          <w:tcPr>
            <w:tcW w:w="2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重庆创迪科技发展有限公司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中标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金额（元）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1953400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8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投诉受理部门</w:t>
            </w:r>
          </w:p>
        </w:tc>
        <w:tc>
          <w:tcPr>
            <w:tcW w:w="463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重庆首讯科技股份有限公司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中国铁建电气化局集团有限公司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中铁建设集团有限公司</w:t>
            </w:r>
          </w:p>
        </w:tc>
        <w:tc>
          <w:tcPr>
            <w:tcW w:w="12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18523731590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3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3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  <w:jc w:val="center"/>
        </w:trPr>
        <w:tc>
          <w:tcPr>
            <w:tcW w:w="46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招标人：重庆首讯科技股份有限公司、</w:t>
            </w:r>
          </w:p>
          <w:p>
            <w:pPr>
              <w:ind w:firstLine="840" w:firstLineChars="40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中国铁建电气化局集团有限公司、</w:t>
            </w:r>
          </w:p>
          <w:p>
            <w:pPr>
              <w:ind w:firstLine="840" w:firstLineChars="4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中铁建设集团有限公司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  <w:tc>
          <w:tcPr>
            <w:tcW w:w="50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招标代理机构：重庆市投资咨询有限公司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</w:tr>
    </w:tbl>
    <w:p>
      <w:pPr>
        <w:ind w:left="-619" w:leftChars="-295" w:right="-506" w:rightChars="-241" w:firstLine="0" w:firstLineChars="0"/>
        <w:jc w:val="both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备注：1、投标人或者其他利害关系人对中标结果公示有异议的，应当先向招标人提出异议，由招标人及其招标代理机构答复；对答复不满意的，才能向有关行政部门投诉。投诉应当按照《工程建设项目招标投标活动投诉处理办法》（国家发展改革委等七部委令第11号）和《重庆市招标投标活动投诉处理实施细则》（渝发改标[2014]1168号）执行。</w:t>
      </w:r>
    </w:p>
    <w:p>
      <w:pPr>
        <w:ind w:left="-619" w:leftChars="-295" w:firstLine="0" w:firstLineChars="0"/>
        <w:jc w:val="both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2、项目如划分多个标段(合同包)的，应按不同合同段分别填写“标段(合同包)名称”、“中标候选人及排序”、“拟中标人”。自行招标的，招标代理机构一栏不填；</w:t>
      </w: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spacing w:line="500" w:lineRule="exact"/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拟中标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结果</w:t>
      </w:r>
      <w:r>
        <w:rPr>
          <w:rFonts w:hint="eastAsia" w:ascii="宋体" w:hAnsi="宋体" w:eastAsia="宋体" w:cs="宋体"/>
          <w:b/>
          <w:sz w:val="36"/>
          <w:szCs w:val="36"/>
        </w:rPr>
        <w:t>公示表</w:t>
      </w:r>
    </w:p>
    <w:p>
      <w:pPr>
        <w:jc w:val="center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(公示期：202</w:t>
      </w:r>
      <w:r>
        <w:rPr>
          <w:rFonts w:hint="eastAsia" w:ascii="宋体" w:hAnsi="宋体" w:eastAsia="宋体" w:cs="宋体"/>
          <w:b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24"/>
        </w:rPr>
        <w:t>年</w:t>
      </w:r>
      <w:r>
        <w:rPr>
          <w:rFonts w:hint="eastAsia" w:ascii="宋体" w:hAnsi="宋体" w:cs="宋体"/>
          <w:b/>
          <w:sz w:val="24"/>
          <w:lang w:val="en-US" w:eastAsia="zh-CN"/>
        </w:rPr>
        <w:t>11</w:t>
      </w:r>
      <w:r>
        <w:rPr>
          <w:rFonts w:hint="eastAsia" w:ascii="宋体" w:hAnsi="宋体" w:eastAsia="宋体" w:cs="宋体"/>
          <w:b/>
          <w:sz w:val="24"/>
        </w:rPr>
        <w:t>月</w:t>
      </w:r>
      <w:r>
        <w:rPr>
          <w:rFonts w:hint="eastAsia" w:ascii="宋体" w:hAnsi="宋体" w:cs="宋体"/>
          <w:b/>
          <w:sz w:val="24"/>
          <w:lang w:val="en-US" w:eastAsia="zh-CN"/>
        </w:rPr>
        <w:t>14</w:t>
      </w:r>
      <w:r>
        <w:rPr>
          <w:rFonts w:hint="eastAsia" w:ascii="宋体" w:hAnsi="宋体" w:eastAsia="宋体" w:cs="宋体"/>
          <w:b/>
          <w:sz w:val="24"/>
        </w:rPr>
        <w:t>日—202</w:t>
      </w:r>
      <w:r>
        <w:rPr>
          <w:rFonts w:hint="eastAsia" w:ascii="宋体" w:hAnsi="宋体" w:eastAsia="宋体" w:cs="宋体"/>
          <w:b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24"/>
        </w:rPr>
        <w:t>年</w:t>
      </w:r>
      <w:r>
        <w:rPr>
          <w:rFonts w:hint="eastAsia" w:ascii="宋体" w:hAnsi="宋体" w:cs="宋体"/>
          <w:b/>
          <w:sz w:val="24"/>
          <w:lang w:val="en-US" w:eastAsia="zh-CN"/>
        </w:rPr>
        <w:t>11</w:t>
      </w:r>
      <w:r>
        <w:rPr>
          <w:rFonts w:hint="eastAsia" w:ascii="宋体" w:hAnsi="宋体" w:eastAsia="宋体" w:cs="宋体"/>
          <w:b/>
          <w:sz w:val="24"/>
        </w:rPr>
        <w:t>月</w:t>
      </w:r>
      <w:r>
        <w:rPr>
          <w:rFonts w:hint="eastAsia" w:ascii="宋体" w:hAnsi="宋体" w:cs="宋体"/>
          <w:b/>
          <w:sz w:val="24"/>
          <w:lang w:val="en-US" w:eastAsia="zh-CN"/>
        </w:rPr>
        <w:t>16</w:t>
      </w:r>
      <w:r>
        <w:rPr>
          <w:rFonts w:hint="eastAsia" w:ascii="宋体" w:hAnsi="宋体" w:eastAsia="宋体" w:cs="宋体"/>
          <w:b/>
          <w:sz w:val="24"/>
        </w:rPr>
        <w:t>日)</w:t>
      </w:r>
    </w:p>
    <w:tbl>
      <w:tblPr>
        <w:tblStyle w:val="11"/>
        <w:tblW w:w="96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9"/>
        <w:gridCol w:w="1857"/>
        <w:gridCol w:w="926"/>
        <w:gridCol w:w="1851"/>
        <w:gridCol w:w="1262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 目 名 称</w:t>
            </w:r>
          </w:p>
        </w:tc>
        <w:tc>
          <w:tcPr>
            <w:tcW w:w="78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渝湘复线彭酉段（K15+270～K105+360）机电设备采购项目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招标公告编号</w:t>
            </w:r>
          </w:p>
        </w:tc>
        <w:tc>
          <w:tcPr>
            <w:tcW w:w="78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0611-2300780732B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   标   人</w:t>
            </w:r>
          </w:p>
        </w:tc>
        <w:tc>
          <w:tcPr>
            <w:tcW w:w="4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重庆首讯科技股份有限公司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中国铁建电气化局集团有限公司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中铁建设集团有限公司</w:t>
            </w:r>
          </w:p>
        </w:tc>
        <w:tc>
          <w:tcPr>
            <w:tcW w:w="12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18523731590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招标代理机构</w:t>
            </w:r>
          </w:p>
        </w:tc>
        <w:tc>
          <w:tcPr>
            <w:tcW w:w="4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重庆市投资咨询有限公司</w:t>
            </w:r>
          </w:p>
        </w:tc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13983603174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8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包件5：工业交换机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第一中标候选人</w:t>
            </w:r>
          </w:p>
        </w:tc>
        <w:tc>
          <w:tcPr>
            <w:tcW w:w="59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四川微迪智控科技有限公司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8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第二中标候选人</w:t>
            </w:r>
          </w:p>
        </w:tc>
        <w:tc>
          <w:tcPr>
            <w:tcW w:w="59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杰新电气（重庆）有限公司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8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第三中标候选人</w:t>
            </w:r>
          </w:p>
        </w:tc>
        <w:tc>
          <w:tcPr>
            <w:tcW w:w="59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武汉微创光电股份有限公司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8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拟中标人</w:t>
            </w:r>
          </w:p>
        </w:tc>
        <w:tc>
          <w:tcPr>
            <w:tcW w:w="2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四川微迪智控科技有限公司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中标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金额（元）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3571670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8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投诉受理部门</w:t>
            </w:r>
          </w:p>
        </w:tc>
        <w:tc>
          <w:tcPr>
            <w:tcW w:w="463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重庆首讯科技股份有限公司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中国铁建电气化局集团有限公司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中铁建设集团有限公司</w:t>
            </w:r>
          </w:p>
        </w:tc>
        <w:tc>
          <w:tcPr>
            <w:tcW w:w="12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18523731590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3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3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  <w:jc w:val="center"/>
        </w:trPr>
        <w:tc>
          <w:tcPr>
            <w:tcW w:w="46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招标人：重庆首讯科技股份有限公司、</w:t>
            </w:r>
          </w:p>
          <w:p>
            <w:pPr>
              <w:ind w:firstLine="840" w:firstLineChars="40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中国铁建电气化局集团有限公司、</w:t>
            </w:r>
          </w:p>
          <w:p>
            <w:pPr>
              <w:ind w:firstLine="840" w:firstLineChars="4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中铁建设集团有限公司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  <w:tc>
          <w:tcPr>
            <w:tcW w:w="50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招标代理机构：重庆市投资咨询有限公司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</w:tr>
    </w:tbl>
    <w:p>
      <w:pPr>
        <w:ind w:left="-619" w:leftChars="-295" w:right="-506" w:rightChars="-241" w:firstLine="0" w:firstLineChars="0"/>
        <w:jc w:val="both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备注：1、投标人或者其他利害关系人对中标结果公示有异议的，应当先向招标人提出异议，由招标人及其招标代理机构答复；对答复不满意的，才能向有关行政部门投诉。投诉应当按照《工程建设项目招标投标活动投诉处理办法》（国家发展改革委等七部委令第11号）和《重庆市招标投标活动投诉处理实施细则》（渝发改标[2014]1168号）执行。</w:t>
      </w:r>
    </w:p>
    <w:p>
      <w:pPr>
        <w:ind w:left="-619" w:leftChars="-295" w:firstLine="0" w:firstLineChars="0"/>
        <w:jc w:val="both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2、项目如划分多个标段(合同包)的，应按不同合同段分别填写“标段(合同包)名称”、“中标候选人及排序”、“拟中标人”。自行招标的，招标代理机构一栏不填；</w:t>
      </w: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spacing w:line="500" w:lineRule="exact"/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拟中标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结果</w:t>
      </w:r>
      <w:r>
        <w:rPr>
          <w:rFonts w:hint="eastAsia" w:ascii="宋体" w:hAnsi="宋体" w:eastAsia="宋体" w:cs="宋体"/>
          <w:b/>
          <w:sz w:val="36"/>
          <w:szCs w:val="36"/>
        </w:rPr>
        <w:t>公示表</w:t>
      </w:r>
    </w:p>
    <w:p>
      <w:pPr>
        <w:jc w:val="center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(公示期：202</w:t>
      </w:r>
      <w:r>
        <w:rPr>
          <w:rFonts w:hint="eastAsia" w:ascii="宋体" w:hAnsi="宋体" w:eastAsia="宋体" w:cs="宋体"/>
          <w:b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24"/>
        </w:rPr>
        <w:t>年</w:t>
      </w:r>
      <w:r>
        <w:rPr>
          <w:rFonts w:hint="eastAsia" w:ascii="宋体" w:hAnsi="宋体" w:cs="宋体"/>
          <w:b/>
          <w:sz w:val="24"/>
          <w:lang w:val="en-US" w:eastAsia="zh-CN"/>
        </w:rPr>
        <w:t>11</w:t>
      </w:r>
      <w:r>
        <w:rPr>
          <w:rFonts w:hint="eastAsia" w:ascii="宋体" w:hAnsi="宋体" w:eastAsia="宋体" w:cs="宋体"/>
          <w:b/>
          <w:sz w:val="24"/>
        </w:rPr>
        <w:t>月</w:t>
      </w:r>
      <w:r>
        <w:rPr>
          <w:rFonts w:hint="eastAsia" w:ascii="宋体" w:hAnsi="宋体" w:cs="宋体"/>
          <w:b/>
          <w:sz w:val="24"/>
          <w:lang w:val="en-US" w:eastAsia="zh-CN"/>
        </w:rPr>
        <w:t>14</w:t>
      </w:r>
      <w:r>
        <w:rPr>
          <w:rFonts w:hint="eastAsia" w:ascii="宋体" w:hAnsi="宋体" w:eastAsia="宋体" w:cs="宋体"/>
          <w:b/>
          <w:sz w:val="24"/>
        </w:rPr>
        <w:t>日—202</w:t>
      </w:r>
      <w:r>
        <w:rPr>
          <w:rFonts w:hint="eastAsia" w:ascii="宋体" w:hAnsi="宋体" w:eastAsia="宋体" w:cs="宋体"/>
          <w:b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24"/>
        </w:rPr>
        <w:t>年</w:t>
      </w:r>
      <w:r>
        <w:rPr>
          <w:rFonts w:hint="eastAsia" w:ascii="宋体" w:hAnsi="宋体" w:cs="宋体"/>
          <w:b/>
          <w:sz w:val="24"/>
          <w:lang w:val="en-US" w:eastAsia="zh-CN"/>
        </w:rPr>
        <w:t>11</w:t>
      </w:r>
      <w:r>
        <w:rPr>
          <w:rFonts w:hint="eastAsia" w:ascii="宋体" w:hAnsi="宋体" w:eastAsia="宋体" w:cs="宋体"/>
          <w:b/>
          <w:sz w:val="24"/>
        </w:rPr>
        <w:t>月</w:t>
      </w:r>
      <w:r>
        <w:rPr>
          <w:rFonts w:hint="eastAsia" w:ascii="宋体" w:hAnsi="宋体" w:cs="宋体"/>
          <w:b/>
          <w:sz w:val="24"/>
          <w:lang w:val="en-US" w:eastAsia="zh-CN"/>
        </w:rPr>
        <w:t>16</w:t>
      </w:r>
      <w:r>
        <w:rPr>
          <w:rFonts w:hint="eastAsia" w:ascii="宋体" w:hAnsi="宋体" w:eastAsia="宋体" w:cs="宋体"/>
          <w:b/>
          <w:sz w:val="24"/>
        </w:rPr>
        <w:t>日)</w:t>
      </w:r>
    </w:p>
    <w:tbl>
      <w:tblPr>
        <w:tblStyle w:val="11"/>
        <w:tblW w:w="96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9"/>
        <w:gridCol w:w="1857"/>
        <w:gridCol w:w="926"/>
        <w:gridCol w:w="1851"/>
        <w:gridCol w:w="1262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 目 名 称</w:t>
            </w:r>
          </w:p>
        </w:tc>
        <w:tc>
          <w:tcPr>
            <w:tcW w:w="78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渝湘复线彭酉段（K15+270～K105+360）机电设备采购项目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招标公告编号</w:t>
            </w:r>
          </w:p>
        </w:tc>
        <w:tc>
          <w:tcPr>
            <w:tcW w:w="78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0611-2300780732B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   标   人</w:t>
            </w:r>
          </w:p>
        </w:tc>
        <w:tc>
          <w:tcPr>
            <w:tcW w:w="4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重庆首讯科技股份有限公司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中国铁建电气化局集团有限公司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中铁建设集团有限公司</w:t>
            </w:r>
          </w:p>
        </w:tc>
        <w:tc>
          <w:tcPr>
            <w:tcW w:w="12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18523731590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招标代理机构</w:t>
            </w:r>
          </w:p>
        </w:tc>
        <w:tc>
          <w:tcPr>
            <w:tcW w:w="4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重庆市投资咨询有限公司</w:t>
            </w:r>
          </w:p>
        </w:tc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13983603174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8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包件6：UPS不间断电源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第一中标候选人</w:t>
            </w:r>
          </w:p>
        </w:tc>
        <w:tc>
          <w:tcPr>
            <w:tcW w:w="59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中铁建电气化局集团第四工程有限公司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8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第二中标候选人</w:t>
            </w:r>
          </w:p>
        </w:tc>
        <w:tc>
          <w:tcPr>
            <w:tcW w:w="59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重庆合诚源锦科技有限公司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8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第三中标候选人</w:t>
            </w:r>
          </w:p>
        </w:tc>
        <w:tc>
          <w:tcPr>
            <w:tcW w:w="59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重庆汇韬电气有限公司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8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拟中标人</w:t>
            </w:r>
          </w:p>
        </w:tc>
        <w:tc>
          <w:tcPr>
            <w:tcW w:w="2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中铁建电气化局集团第四工程有限公司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中标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金额（元）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7196320.00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8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投诉受理部门</w:t>
            </w:r>
          </w:p>
        </w:tc>
        <w:tc>
          <w:tcPr>
            <w:tcW w:w="463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重庆首讯科技股份有限公司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中国铁建电气化局集团有限公司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中铁建设集团有限公司</w:t>
            </w:r>
          </w:p>
        </w:tc>
        <w:tc>
          <w:tcPr>
            <w:tcW w:w="12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18523731590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3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3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  <w:jc w:val="center"/>
        </w:trPr>
        <w:tc>
          <w:tcPr>
            <w:tcW w:w="46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招标人：重庆首讯科技股份有限公司、</w:t>
            </w:r>
          </w:p>
          <w:p>
            <w:pPr>
              <w:ind w:firstLine="840" w:firstLineChars="40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中国铁建电气化局集团有限公司、</w:t>
            </w:r>
          </w:p>
          <w:p>
            <w:pPr>
              <w:ind w:firstLine="840" w:firstLineChars="4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中铁建设集团有限公司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  <w:tc>
          <w:tcPr>
            <w:tcW w:w="50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招标代理机构：重庆市投资咨询有限公司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</w:tr>
    </w:tbl>
    <w:p>
      <w:pPr>
        <w:ind w:left="-619" w:leftChars="-295" w:right="-506" w:rightChars="-241" w:firstLine="0" w:firstLineChars="0"/>
        <w:jc w:val="both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备注：1、投标人或者其他利害关系人对中标结果公示有异议的，应当先向招标人提出异议，由招标人及其招标代理机构答复；对答复不满意的，才能向有关行政部门投诉。投诉应当按照《工程建设项目招标投标活动投诉处理办法》（国家发展改革委等七部委令第11号）和《重庆市招标投标活动投诉处理实施细则》（渝发改标[2014]1168号）执行。</w:t>
      </w:r>
    </w:p>
    <w:p>
      <w:pPr>
        <w:ind w:left="-619" w:leftChars="-295" w:firstLine="0" w:firstLineChars="0"/>
        <w:jc w:val="both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2、项目如划分多个标段(合同包)的，应按不同合同段分别填写“标段(合同包)名称”、“中标候选人及排序”、“拟中标人”。自行招标的，招标代理机构一栏不填；</w:t>
      </w: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spacing w:line="500" w:lineRule="exact"/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拟中标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结果</w:t>
      </w:r>
      <w:r>
        <w:rPr>
          <w:rFonts w:hint="eastAsia" w:ascii="宋体" w:hAnsi="宋体" w:eastAsia="宋体" w:cs="宋体"/>
          <w:b/>
          <w:sz w:val="36"/>
          <w:szCs w:val="36"/>
        </w:rPr>
        <w:t>公示表</w:t>
      </w:r>
    </w:p>
    <w:p>
      <w:pPr>
        <w:jc w:val="center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(公示期：202</w:t>
      </w:r>
      <w:r>
        <w:rPr>
          <w:rFonts w:hint="eastAsia" w:ascii="宋体" w:hAnsi="宋体" w:eastAsia="宋体" w:cs="宋体"/>
          <w:b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24"/>
        </w:rPr>
        <w:t>年</w:t>
      </w:r>
      <w:r>
        <w:rPr>
          <w:rFonts w:hint="eastAsia" w:ascii="宋体" w:hAnsi="宋体" w:cs="宋体"/>
          <w:b/>
          <w:sz w:val="24"/>
          <w:lang w:val="en-US" w:eastAsia="zh-CN"/>
        </w:rPr>
        <w:t>11</w:t>
      </w:r>
      <w:r>
        <w:rPr>
          <w:rFonts w:hint="eastAsia" w:ascii="宋体" w:hAnsi="宋体" w:eastAsia="宋体" w:cs="宋体"/>
          <w:b/>
          <w:sz w:val="24"/>
        </w:rPr>
        <w:t>月</w:t>
      </w:r>
      <w:r>
        <w:rPr>
          <w:rFonts w:hint="eastAsia" w:ascii="宋体" w:hAnsi="宋体" w:cs="宋体"/>
          <w:b/>
          <w:sz w:val="24"/>
          <w:lang w:val="en-US" w:eastAsia="zh-CN"/>
        </w:rPr>
        <w:t>14</w:t>
      </w:r>
      <w:r>
        <w:rPr>
          <w:rFonts w:hint="eastAsia" w:ascii="宋体" w:hAnsi="宋体" w:eastAsia="宋体" w:cs="宋体"/>
          <w:b/>
          <w:sz w:val="24"/>
        </w:rPr>
        <w:t>日—202</w:t>
      </w:r>
      <w:r>
        <w:rPr>
          <w:rFonts w:hint="eastAsia" w:ascii="宋体" w:hAnsi="宋体" w:eastAsia="宋体" w:cs="宋体"/>
          <w:b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24"/>
        </w:rPr>
        <w:t>年</w:t>
      </w:r>
      <w:r>
        <w:rPr>
          <w:rFonts w:hint="eastAsia" w:ascii="宋体" w:hAnsi="宋体" w:cs="宋体"/>
          <w:b/>
          <w:sz w:val="24"/>
          <w:lang w:val="en-US" w:eastAsia="zh-CN"/>
        </w:rPr>
        <w:t>11</w:t>
      </w:r>
      <w:r>
        <w:rPr>
          <w:rFonts w:hint="eastAsia" w:ascii="宋体" w:hAnsi="宋体" w:eastAsia="宋体" w:cs="宋体"/>
          <w:b/>
          <w:sz w:val="24"/>
        </w:rPr>
        <w:t>月</w:t>
      </w:r>
      <w:r>
        <w:rPr>
          <w:rFonts w:hint="eastAsia" w:ascii="宋体" w:hAnsi="宋体" w:cs="宋体"/>
          <w:b/>
          <w:sz w:val="24"/>
          <w:lang w:val="en-US" w:eastAsia="zh-CN"/>
        </w:rPr>
        <w:t>16</w:t>
      </w:r>
      <w:r>
        <w:rPr>
          <w:rFonts w:hint="eastAsia" w:ascii="宋体" w:hAnsi="宋体" w:eastAsia="宋体" w:cs="宋体"/>
          <w:b/>
          <w:sz w:val="24"/>
        </w:rPr>
        <w:t>日)</w:t>
      </w:r>
    </w:p>
    <w:tbl>
      <w:tblPr>
        <w:tblStyle w:val="11"/>
        <w:tblW w:w="96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9"/>
        <w:gridCol w:w="1857"/>
        <w:gridCol w:w="926"/>
        <w:gridCol w:w="1851"/>
        <w:gridCol w:w="1262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 目 名 称</w:t>
            </w:r>
          </w:p>
        </w:tc>
        <w:tc>
          <w:tcPr>
            <w:tcW w:w="78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渝湘复线彭酉段（K15+270～K105+360）机电设备采购项目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招标公告编号</w:t>
            </w:r>
          </w:p>
        </w:tc>
        <w:tc>
          <w:tcPr>
            <w:tcW w:w="78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0611-2300780732B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   标   人</w:t>
            </w:r>
          </w:p>
        </w:tc>
        <w:tc>
          <w:tcPr>
            <w:tcW w:w="4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重庆首讯科技股份有限公司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中国铁建电气化局集团有限公司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中铁建设集团有限公司</w:t>
            </w:r>
          </w:p>
        </w:tc>
        <w:tc>
          <w:tcPr>
            <w:tcW w:w="12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18523731590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招标代理机构</w:t>
            </w:r>
          </w:p>
        </w:tc>
        <w:tc>
          <w:tcPr>
            <w:tcW w:w="4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重庆市投资咨询有限公司</w:t>
            </w:r>
          </w:p>
        </w:tc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13983603174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8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包件7：PLC(区域控制器)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第一中标候选人</w:t>
            </w:r>
          </w:p>
        </w:tc>
        <w:tc>
          <w:tcPr>
            <w:tcW w:w="59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重庆市莱裕电气有限公司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8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第二中标候选人</w:t>
            </w:r>
          </w:p>
        </w:tc>
        <w:tc>
          <w:tcPr>
            <w:tcW w:w="59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重庆阿加斯科技有限公司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8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第三中标候选人</w:t>
            </w:r>
          </w:p>
        </w:tc>
        <w:tc>
          <w:tcPr>
            <w:tcW w:w="59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重庆安捷诺科技有限公司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8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拟中标人</w:t>
            </w:r>
          </w:p>
        </w:tc>
        <w:tc>
          <w:tcPr>
            <w:tcW w:w="2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重庆市莱裕电气有限公司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中标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金额（元）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5520960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8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投诉受理部门</w:t>
            </w:r>
          </w:p>
        </w:tc>
        <w:tc>
          <w:tcPr>
            <w:tcW w:w="463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重庆首讯科技股份有限公司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中国铁建电气化局集团有限公司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中铁建设集团有限公司</w:t>
            </w:r>
          </w:p>
        </w:tc>
        <w:tc>
          <w:tcPr>
            <w:tcW w:w="12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18523731590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3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3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  <w:jc w:val="center"/>
        </w:trPr>
        <w:tc>
          <w:tcPr>
            <w:tcW w:w="46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招标人：重庆首讯科技股份有限公司、</w:t>
            </w:r>
          </w:p>
          <w:p>
            <w:pPr>
              <w:ind w:firstLine="840" w:firstLineChars="40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中国铁建电气化局集团有限公司、</w:t>
            </w:r>
          </w:p>
          <w:p>
            <w:pPr>
              <w:ind w:firstLine="840" w:firstLineChars="4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中铁建设集团有限公司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  <w:tc>
          <w:tcPr>
            <w:tcW w:w="50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招标代理机构：重庆市投资咨询有限公司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</w:tr>
    </w:tbl>
    <w:p>
      <w:pPr>
        <w:ind w:left="-619" w:leftChars="-295" w:right="-506" w:rightChars="-241" w:firstLine="0" w:firstLineChars="0"/>
        <w:jc w:val="both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备注：1、投标人或者其他利害关系人对中标结果公示有异议的，应当先向招标人提出异议，由招标人及其招标代理机构答复；对答复不满意的，才能向有关行政部门投诉。投诉应当按照《工程建设项目招标投标活动投诉处理办法》（国家发展改革委等七部委令第11号）和《重庆市招标投标活动投诉处理实施细则》（渝发改标[2014]1168号）执行。</w:t>
      </w:r>
    </w:p>
    <w:p>
      <w:pPr>
        <w:ind w:left="-619" w:leftChars="-295" w:firstLine="0" w:firstLineChars="0"/>
        <w:jc w:val="both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2、项目如划分多个标段(合同包)的，应按不同合同段分别填写“标段(合同包)名称”、“中标候选人及排序”、“拟中标人”。自行招标的，招标代理机构一栏不填；</w:t>
      </w: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spacing w:line="500" w:lineRule="exact"/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拟中标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结果</w:t>
      </w:r>
      <w:r>
        <w:rPr>
          <w:rFonts w:hint="eastAsia" w:ascii="宋体" w:hAnsi="宋体" w:eastAsia="宋体" w:cs="宋体"/>
          <w:b/>
          <w:sz w:val="36"/>
          <w:szCs w:val="36"/>
        </w:rPr>
        <w:t>公示表</w:t>
      </w:r>
    </w:p>
    <w:p>
      <w:pPr>
        <w:jc w:val="center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(公示期：202</w:t>
      </w:r>
      <w:r>
        <w:rPr>
          <w:rFonts w:hint="eastAsia" w:ascii="宋体" w:hAnsi="宋体" w:eastAsia="宋体" w:cs="宋体"/>
          <w:b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24"/>
        </w:rPr>
        <w:t>年</w:t>
      </w:r>
      <w:r>
        <w:rPr>
          <w:rFonts w:hint="eastAsia" w:ascii="宋体" w:hAnsi="宋体" w:cs="宋体"/>
          <w:b/>
          <w:sz w:val="24"/>
          <w:lang w:val="en-US" w:eastAsia="zh-CN"/>
        </w:rPr>
        <w:t>11</w:t>
      </w:r>
      <w:r>
        <w:rPr>
          <w:rFonts w:hint="eastAsia" w:ascii="宋体" w:hAnsi="宋体" w:eastAsia="宋体" w:cs="宋体"/>
          <w:b/>
          <w:sz w:val="24"/>
        </w:rPr>
        <w:t>月</w:t>
      </w:r>
      <w:r>
        <w:rPr>
          <w:rFonts w:hint="eastAsia" w:ascii="宋体" w:hAnsi="宋体" w:cs="宋体"/>
          <w:b/>
          <w:sz w:val="24"/>
          <w:lang w:val="en-US" w:eastAsia="zh-CN"/>
        </w:rPr>
        <w:t>14</w:t>
      </w:r>
      <w:r>
        <w:rPr>
          <w:rFonts w:hint="eastAsia" w:ascii="宋体" w:hAnsi="宋体" w:eastAsia="宋体" w:cs="宋体"/>
          <w:b/>
          <w:sz w:val="24"/>
        </w:rPr>
        <w:t>日—202</w:t>
      </w:r>
      <w:r>
        <w:rPr>
          <w:rFonts w:hint="eastAsia" w:ascii="宋体" w:hAnsi="宋体" w:eastAsia="宋体" w:cs="宋体"/>
          <w:b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24"/>
        </w:rPr>
        <w:t>年</w:t>
      </w:r>
      <w:r>
        <w:rPr>
          <w:rFonts w:hint="eastAsia" w:ascii="宋体" w:hAnsi="宋体" w:cs="宋体"/>
          <w:b/>
          <w:sz w:val="24"/>
          <w:lang w:val="en-US" w:eastAsia="zh-CN"/>
        </w:rPr>
        <w:t>11</w:t>
      </w:r>
      <w:r>
        <w:rPr>
          <w:rFonts w:hint="eastAsia" w:ascii="宋体" w:hAnsi="宋体" w:eastAsia="宋体" w:cs="宋体"/>
          <w:b/>
          <w:sz w:val="24"/>
        </w:rPr>
        <w:t>月</w:t>
      </w:r>
      <w:r>
        <w:rPr>
          <w:rFonts w:hint="eastAsia" w:ascii="宋体" w:hAnsi="宋体" w:cs="宋体"/>
          <w:b/>
          <w:sz w:val="24"/>
          <w:lang w:val="en-US" w:eastAsia="zh-CN"/>
        </w:rPr>
        <w:t>16</w:t>
      </w:r>
      <w:r>
        <w:rPr>
          <w:rFonts w:hint="eastAsia" w:ascii="宋体" w:hAnsi="宋体" w:eastAsia="宋体" w:cs="宋体"/>
          <w:b/>
          <w:sz w:val="24"/>
        </w:rPr>
        <w:t>日)</w:t>
      </w:r>
    </w:p>
    <w:tbl>
      <w:tblPr>
        <w:tblStyle w:val="11"/>
        <w:tblW w:w="96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9"/>
        <w:gridCol w:w="1857"/>
        <w:gridCol w:w="926"/>
        <w:gridCol w:w="1851"/>
        <w:gridCol w:w="1262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 目 名 称</w:t>
            </w:r>
          </w:p>
        </w:tc>
        <w:tc>
          <w:tcPr>
            <w:tcW w:w="78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渝湘复线彭酉段（K15+270～K105+360）机电设备采购项目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招标公告编号</w:t>
            </w:r>
          </w:p>
        </w:tc>
        <w:tc>
          <w:tcPr>
            <w:tcW w:w="78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0611-2300780732B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   标   人</w:t>
            </w:r>
          </w:p>
        </w:tc>
        <w:tc>
          <w:tcPr>
            <w:tcW w:w="4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重庆首讯科技股份有限公司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中国铁建电气化局集团有限公司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中铁建设集团有限公司</w:t>
            </w:r>
          </w:p>
        </w:tc>
        <w:tc>
          <w:tcPr>
            <w:tcW w:w="12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18523731590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招标代理机构</w:t>
            </w:r>
          </w:p>
        </w:tc>
        <w:tc>
          <w:tcPr>
            <w:tcW w:w="4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重庆市投资咨询有限公司</w:t>
            </w:r>
          </w:p>
        </w:tc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13983603174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8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包件8：环境检测设备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第一中标候选人</w:t>
            </w:r>
          </w:p>
        </w:tc>
        <w:tc>
          <w:tcPr>
            <w:tcW w:w="59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上海勋光电子科技有限公司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8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第二中标候选人</w:t>
            </w:r>
          </w:p>
        </w:tc>
        <w:tc>
          <w:tcPr>
            <w:tcW w:w="59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北京曼德克环境科技有限公司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8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第三中标候选人</w:t>
            </w:r>
          </w:p>
        </w:tc>
        <w:tc>
          <w:tcPr>
            <w:tcW w:w="59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重庆朝能美路科技发展有限公司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8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拟中标人</w:t>
            </w:r>
          </w:p>
        </w:tc>
        <w:tc>
          <w:tcPr>
            <w:tcW w:w="2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上海勋光电子科技有限公司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中标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金额（元）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1125580.00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8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投诉受理部门</w:t>
            </w:r>
          </w:p>
        </w:tc>
        <w:tc>
          <w:tcPr>
            <w:tcW w:w="463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重庆首讯科技股份有限公司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中国铁建电气化局集团有限公司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中铁建设集团有限公司</w:t>
            </w:r>
          </w:p>
        </w:tc>
        <w:tc>
          <w:tcPr>
            <w:tcW w:w="12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18523731590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3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3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  <w:jc w:val="center"/>
        </w:trPr>
        <w:tc>
          <w:tcPr>
            <w:tcW w:w="46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招标人：重庆首讯科技股份有限公司、</w:t>
            </w:r>
          </w:p>
          <w:p>
            <w:pPr>
              <w:ind w:firstLine="840" w:firstLineChars="40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中国铁建电气化局集团有限公司、</w:t>
            </w:r>
          </w:p>
          <w:p>
            <w:pPr>
              <w:ind w:firstLine="840" w:firstLineChars="4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中铁建设集团有限公司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  <w:tc>
          <w:tcPr>
            <w:tcW w:w="50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招标代理机构：重庆市投资咨询有限公司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</w:tr>
    </w:tbl>
    <w:p>
      <w:pPr>
        <w:ind w:left="-619" w:leftChars="-295" w:right="-506" w:rightChars="-241" w:firstLine="0" w:firstLineChars="0"/>
        <w:jc w:val="both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备注：1、投标人或者其他利害关系人对中标结果公示有异议的，应当先向招标人提出异议，由招标人及其招标代理机构答复；对答复不满意的，才能向有关行政部门投诉。投诉应当按照《工程建设项目招标投标活动投诉处理办法》（国家发展改革委等七部委令第11号）和《重庆市招标投标活动投诉处理实施细则》（渝发改标[2014]1168号）执行。</w:t>
      </w:r>
    </w:p>
    <w:p>
      <w:pPr>
        <w:ind w:left="-619" w:leftChars="-295" w:firstLine="0" w:firstLineChars="0"/>
        <w:jc w:val="both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2、项目如划分多个标段(合同包)的，应按不同合同段分别填写“标段(合同包)名称”、“中标候选人及排序”、“拟中标人”。自行招标的，招标代理机构一栏不填；</w:t>
      </w: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spacing w:line="500" w:lineRule="exact"/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拟中标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结果</w:t>
      </w:r>
      <w:r>
        <w:rPr>
          <w:rFonts w:hint="eastAsia" w:ascii="宋体" w:hAnsi="宋体" w:eastAsia="宋体" w:cs="宋体"/>
          <w:b/>
          <w:sz w:val="36"/>
          <w:szCs w:val="36"/>
        </w:rPr>
        <w:t>公示表</w:t>
      </w:r>
    </w:p>
    <w:p>
      <w:pPr>
        <w:jc w:val="center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(公示期：202</w:t>
      </w:r>
      <w:r>
        <w:rPr>
          <w:rFonts w:hint="eastAsia" w:ascii="宋体" w:hAnsi="宋体" w:eastAsia="宋体" w:cs="宋体"/>
          <w:b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24"/>
        </w:rPr>
        <w:t>年</w:t>
      </w:r>
      <w:r>
        <w:rPr>
          <w:rFonts w:hint="eastAsia" w:ascii="宋体" w:hAnsi="宋体" w:cs="宋体"/>
          <w:b/>
          <w:sz w:val="24"/>
          <w:lang w:val="en-US" w:eastAsia="zh-CN"/>
        </w:rPr>
        <w:t>11</w:t>
      </w:r>
      <w:r>
        <w:rPr>
          <w:rFonts w:hint="eastAsia" w:ascii="宋体" w:hAnsi="宋体" w:eastAsia="宋体" w:cs="宋体"/>
          <w:b/>
          <w:sz w:val="24"/>
        </w:rPr>
        <w:t>月</w:t>
      </w:r>
      <w:r>
        <w:rPr>
          <w:rFonts w:hint="eastAsia" w:ascii="宋体" w:hAnsi="宋体" w:cs="宋体"/>
          <w:b/>
          <w:sz w:val="24"/>
          <w:lang w:val="en-US" w:eastAsia="zh-CN"/>
        </w:rPr>
        <w:t>14</w:t>
      </w:r>
      <w:r>
        <w:rPr>
          <w:rFonts w:hint="eastAsia" w:ascii="宋体" w:hAnsi="宋体" w:eastAsia="宋体" w:cs="宋体"/>
          <w:b/>
          <w:sz w:val="24"/>
        </w:rPr>
        <w:t>日—202</w:t>
      </w:r>
      <w:r>
        <w:rPr>
          <w:rFonts w:hint="eastAsia" w:ascii="宋体" w:hAnsi="宋体" w:eastAsia="宋体" w:cs="宋体"/>
          <w:b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24"/>
        </w:rPr>
        <w:t>年</w:t>
      </w:r>
      <w:r>
        <w:rPr>
          <w:rFonts w:hint="eastAsia" w:ascii="宋体" w:hAnsi="宋体" w:cs="宋体"/>
          <w:b/>
          <w:sz w:val="24"/>
          <w:lang w:val="en-US" w:eastAsia="zh-CN"/>
        </w:rPr>
        <w:t>11</w:t>
      </w:r>
      <w:r>
        <w:rPr>
          <w:rFonts w:hint="eastAsia" w:ascii="宋体" w:hAnsi="宋体" w:eastAsia="宋体" w:cs="宋体"/>
          <w:b/>
          <w:sz w:val="24"/>
        </w:rPr>
        <w:t>月</w:t>
      </w:r>
      <w:r>
        <w:rPr>
          <w:rFonts w:hint="eastAsia" w:ascii="宋体" w:hAnsi="宋体" w:cs="宋体"/>
          <w:b/>
          <w:sz w:val="24"/>
          <w:lang w:val="en-US" w:eastAsia="zh-CN"/>
        </w:rPr>
        <w:t>16</w:t>
      </w:r>
      <w:r>
        <w:rPr>
          <w:rFonts w:hint="eastAsia" w:ascii="宋体" w:hAnsi="宋体" w:eastAsia="宋体" w:cs="宋体"/>
          <w:b/>
          <w:sz w:val="24"/>
        </w:rPr>
        <w:t>日)</w:t>
      </w:r>
    </w:p>
    <w:tbl>
      <w:tblPr>
        <w:tblStyle w:val="11"/>
        <w:tblW w:w="96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9"/>
        <w:gridCol w:w="1857"/>
        <w:gridCol w:w="926"/>
        <w:gridCol w:w="1851"/>
        <w:gridCol w:w="1262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 目 名 称</w:t>
            </w:r>
          </w:p>
        </w:tc>
        <w:tc>
          <w:tcPr>
            <w:tcW w:w="78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渝湘复线彭酉段（K15+270～K105+360）机电设备采购项目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招标公告编号</w:t>
            </w:r>
          </w:p>
        </w:tc>
        <w:tc>
          <w:tcPr>
            <w:tcW w:w="78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0611-2300780732B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   标   人</w:t>
            </w:r>
          </w:p>
        </w:tc>
        <w:tc>
          <w:tcPr>
            <w:tcW w:w="4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重庆首讯科技股份有限公司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中国铁建电气化局集团有限公司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中铁建设集团有限公司</w:t>
            </w:r>
          </w:p>
        </w:tc>
        <w:tc>
          <w:tcPr>
            <w:tcW w:w="12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18523731590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招标代理机构</w:t>
            </w:r>
          </w:p>
        </w:tc>
        <w:tc>
          <w:tcPr>
            <w:tcW w:w="4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重庆市投资咨询有限公司</w:t>
            </w:r>
          </w:p>
        </w:tc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13983603174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8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包件9：高压柜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第一中标候选人</w:t>
            </w:r>
          </w:p>
        </w:tc>
        <w:tc>
          <w:tcPr>
            <w:tcW w:w="59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重庆祥泰电气有限公司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8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第二中标候选人</w:t>
            </w:r>
          </w:p>
        </w:tc>
        <w:tc>
          <w:tcPr>
            <w:tcW w:w="59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重庆源通电器设备制造有限责任公司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8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第三中标候选人</w:t>
            </w:r>
          </w:p>
        </w:tc>
        <w:tc>
          <w:tcPr>
            <w:tcW w:w="59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重庆市富合吉机电设备有限公司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8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拟中标人</w:t>
            </w:r>
          </w:p>
        </w:tc>
        <w:tc>
          <w:tcPr>
            <w:tcW w:w="2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重庆祥泰电气有限公司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中标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金额（元）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11432034.00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8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投诉受理部门</w:t>
            </w:r>
          </w:p>
        </w:tc>
        <w:tc>
          <w:tcPr>
            <w:tcW w:w="463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重庆首讯科技股份有限公司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中国铁建电气化局集团有限公司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中铁建设集团有限公司</w:t>
            </w:r>
          </w:p>
        </w:tc>
        <w:tc>
          <w:tcPr>
            <w:tcW w:w="12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18523731590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3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3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  <w:jc w:val="center"/>
        </w:trPr>
        <w:tc>
          <w:tcPr>
            <w:tcW w:w="46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招标人：重庆首讯科技股份有限公司、</w:t>
            </w:r>
          </w:p>
          <w:p>
            <w:pPr>
              <w:ind w:firstLine="840" w:firstLineChars="40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中国铁建电气化局集团有限公司、</w:t>
            </w:r>
          </w:p>
          <w:p>
            <w:pPr>
              <w:ind w:firstLine="840" w:firstLineChars="4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中铁建设集团有限公司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  <w:tc>
          <w:tcPr>
            <w:tcW w:w="50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招标代理机构：重庆市投资咨询有限公司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</w:tr>
    </w:tbl>
    <w:p>
      <w:pPr>
        <w:ind w:left="-619" w:leftChars="-295" w:right="-506" w:rightChars="-241" w:firstLine="0" w:firstLineChars="0"/>
        <w:jc w:val="both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备注：1、投标人或者其他利害关系人对中标结果公示有异议的，应当先向招标人提出异议，由招标人及其招标代理机构答复；对答复不满意的，才能向有关行政部门投诉。投诉应当按照《工程建设项目招标投标活动投诉处理办法》（国家发展改革委等七部委令第11号）和《重庆市招标投标活动投诉处理实施细则》（渝发改标[2014]1168号）执行。</w:t>
      </w:r>
    </w:p>
    <w:p>
      <w:pPr>
        <w:ind w:left="-619" w:leftChars="-295" w:firstLine="0" w:firstLineChars="0"/>
        <w:jc w:val="both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2、项目如划分多个标段(合同包)的，应按不同合同段分别填写“标段(合同包)名称”、“中标候选人及排序”、“拟中标人”。自行招标的，招标代理机构一栏不填；</w:t>
      </w: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spacing w:line="500" w:lineRule="exact"/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拟中标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结果</w:t>
      </w:r>
      <w:r>
        <w:rPr>
          <w:rFonts w:hint="eastAsia" w:ascii="宋体" w:hAnsi="宋体" w:eastAsia="宋体" w:cs="宋体"/>
          <w:b/>
          <w:sz w:val="36"/>
          <w:szCs w:val="36"/>
        </w:rPr>
        <w:t>公示表</w:t>
      </w:r>
    </w:p>
    <w:p>
      <w:pPr>
        <w:jc w:val="center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(公示期：202</w:t>
      </w:r>
      <w:r>
        <w:rPr>
          <w:rFonts w:hint="eastAsia" w:ascii="宋体" w:hAnsi="宋体" w:eastAsia="宋体" w:cs="宋体"/>
          <w:b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24"/>
        </w:rPr>
        <w:t>年</w:t>
      </w:r>
      <w:r>
        <w:rPr>
          <w:rFonts w:hint="eastAsia" w:ascii="宋体" w:hAnsi="宋体" w:cs="宋体"/>
          <w:b/>
          <w:sz w:val="24"/>
          <w:lang w:val="en-US" w:eastAsia="zh-CN"/>
        </w:rPr>
        <w:t>11</w:t>
      </w:r>
      <w:r>
        <w:rPr>
          <w:rFonts w:hint="eastAsia" w:ascii="宋体" w:hAnsi="宋体" w:eastAsia="宋体" w:cs="宋体"/>
          <w:b/>
          <w:sz w:val="24"/>
        </w:rPr>
        <w:t>月</w:t>
      </w:r>
      <w:r>
        <w:rPr>
          <w:rFonts w:hint="eastAsia" w:ascii="宋体" w:hAnsi="宋体" w:cs="宋体"/>
          <w:b/>
          <w:sz w:val="24"/>
          <w:lang w:val="en-US" w:eastAsia="zh-CN"/>
        </w:rPr>
        <w:t>14</w:t>
      </w:r>
      <w:r>
        <w:rPr>
          <w:rFonts w:hint="eastAsia" w:ascii="宋体" w:hAnsi="宋体" w:eastAsia="宋体" w:cs="宋体"/>
          <w:b/>
          <w:sz w:val="24"/>
        </w:rPr>
        <w:t>日—202</w:t>
      </w:r>
      <w:r>
        <w:rPr>
          <w:rFonts w:hint="eastAsia" w:ascii="宋体" w:hAnsi="宋体" w:eastAsia="宋体" w:cs="宋体"/>
          <w:b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24"/>
        </w:rPr>
        <w:t>年</w:t>
      </w:r>
      <w:r>
        <w:rPr>
          <w:rFonts w:hint="eastAsia" w:ascii="宋体" w:hAnsi="宋体" w:cs="宋体"/>
          <w:b/>
          <w:sz w:val="24"/>
          <w:lang w:val="en-US" w:eastAsia="zh-CN"/>
        </w:rPr>
        <w:t>11</w:t>
      </w:r>
      <w:r>
        <w:rPr>
          <w:rFonts w:hint="eastAsia" w:ascii="宋体" w:hAnsi="宋体" w:eastAsia="宋体" w:cs="宋体"/>
          <w:b/>
          <w:sz w:val="24"/>
        </w:rPr>
        <w:t>月</w:t>
      </w:r>
      <w:r>
        <w:rPr>
          <w:rFonts w:hint="eastAsia" w:ascii="宋体" w:hAnsi="宋体" w:cs="宋体"/>
          <w:b/>
          <w:sz w:val="24"/>
          <w:lang w:val="en-US" w:eastAsia="zh-CN"/>
        </w:rPr>
        <w:t>16</w:t>
      </w:r>
      <w:r>
        <w:rPr>
          <w:rFonts w:hint="eastAsia" w:ascii="宋体" w:hAnsi="宋体" w:eastAsia="宋体" w:cs="宋体"/>
          <w:b/>
          <w:sz w:val="24"/>
        </w:rPr>
        <w:t>日)</w:t>
      </w:r>
    </w:p>
    <w:tbl>
      <w:tblPr>
        <w:tblStyle w:val="11"/>
        <w:tblW w:w="96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9"/>
        <w:gridCol w:w="1857"/>
        <w:gridCol w:w="926"/>
        <w:gridCol w:w="1851"/>
        <w:gridCol w:w="1262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 目 名 称</w:t>
            </w:r>
          </w:p>
        </w:tc>
        <w:tc>
          <w:tcPr>
            <w:tcW w:w="78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渝湘复线彭酉段（K15+270～K105+360）机电设备采购项目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招标公告编号</w:t>
            </w:r>
          </w:p>
        </w:tc>
        <w:tc>
          <w:tcPr>
            <w:tcW w:w="78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0611-2300780732B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   标   人</w:t>
            </w:r>
          </w:p>
        </w:tc>
        <w:tc>
          <w:tcPr>
            <w:tcW w:w="4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重庆首讯科技股份有限公司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中国铁建电气化局集团有限公司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中铁建设集团有限公司</w:t>
            </w:r>
          </w:p>
        </w:tc>
        <w:tc>
          <w:tcPr>
            <w:tcW w:w="12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18523731590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招标代理机构</w:t>
            </w:r>
          </w:p>
        </w:tc>
        <w:tc>
          <w:tcPr>
            <w:tcW w:w="4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重庆市投资咨询有限公司</w:t>
            </w:r>
          </w:p>
        </w:tc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13983603174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8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包件10：低压柜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第一中标候选人</w:t>
            </w:r>
          </w:p>
        </w:tc>
        <w:tc>
          <w:tcPr>
            <w:tcW w:w="59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重庆祥泰电气有限公司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8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第二中标候选人</w:t>
            </w:r>
          </w:p>
        </w:tc>
        <w:tc>
          <w:tcPr>
            <w:tcW w:w="59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重庆市富合吉机电设备有限公司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8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第三中标候选人</w:t>
            </w:r>
          </w:p>
        </w:tc>
        <w:tc>
          <w:tcPr>
            <w:tcW w:w="59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武汉市武昌电控设备有限公司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8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拟中标人</w:t>
            </w:r>
          </w:p>
        </w:tc>
        <w:tc>
          <w:tcPr>
            <w:tcW w:w="2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重庆祥泰电气有限公司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中标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金额（元）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11003157.00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8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投诉受理部门</w:t>
            </w:r>
          </w:p>
        </w:tc>
        <w:tc>
          <w:tcPr>
            <w:tcW w:w="463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重庆首讯科技股份有限公司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中国铁建电气化局集团有限公司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中铁建设集团有限公司</w:t>
            </w:r>
          </w:p>
        </w:tc>
        <w:tc>
          <w:tcPr>
            <w:tcW w:w="12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18523731590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3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3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  <w:jc w:val="center"/>
        </w:trPr>
        <w:tc>
          <w:tcPr>
            <w:tcW w:w="46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招标人：重庆首讯科技股份有限公司、</w:t>
            </w:r>
          </w:p>
          <w:p>
            <w:pPr>
              <w:ind w:firstLine="840" w:firstLineChars="40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中国铁建电气化局集团有限公司、</w:t>
            </w:r>
          </w:p>
          <w:p>
            <w:pPr>
              <w:ind w:firstLine="840" w:firstLineChars="4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中铁建设集团有限公司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  <w:tc>
          <w:tcPr>
            <w:tcW w:w="50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招标代理机构：重庆市投资咨询有限公司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</w:tr>
    </w:tbl>
    <w:p>
      <w:pPr>
        <w:ind w:left="-619" w:leftChars="-295" w:right="-506" w:rightChars="-241" w:firstLine="0" w:firstLineChars="0"/>
        <w:jc w:val="both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备注：1、投标人或者其他利害关系人对中标结果公示有异议的，应当先向招标人提出异议，由招标人及其招标代理机构答复；对答复不满意的，才能向有关行政部门投诉。投诉应当按照《工程建设项目招标投标活动投诉处理办法》（国家发展改革委等七部委令第11号）和《重庆市招标投标活动投诉处理实施细则》（渝发改标[2014]1168号）执行。</w:t>
      </w:r>
    </w:p>
    <w:p>
      <w:pPr>
        <w:ind w:left="-619" w:leftChars="-295" w:firstLine="0" w:firstLineChars="0"/>
        <w:jc w:val="both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2、项目如划分多个标段(合同包)的，应按不同合同段分别填写“标段(合同包)名称”、“中标候选人及排序”、“拟中标人”。自行招标的，招标代理机构一栏不填；</w:t>
      </w: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spacing w:line="500" w:lineRule="exact"/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拟中标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结果</w:t>
      </w:r>
      <w:r>
        <w:rPr>
          <w:rFonts w:hint="eastAsia" w:ascii="宋体" w:hAnsi="宋体" w:eastAsia="宋体" w:cs="宋体"/>
          <w:b/>
          <w:sz w:val="36"/>
          <w:szCs w:val="36"/>
        </w:rPr>
        <w:t>公示表</w:t>
      </w:r>
    </w:p>
    <w:p>
      <w:pPr>
        <w:jc w:val="center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(公示期：202</w:t>
      </w:r>
      <w:r>
        <w:rPr>
          <w:rFonts w:hint="eastAsia" w:ascii="宋体" w:hAnsi="宋体" w:eastAsia="宋体" w:cs="宋体"/>
          <w:b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24"/>
        </w:rPr>
        <w:t>年</w:t>
      </w:r>
      <w:r>
        <w:rPr>
          <w:rFonts w:hint="eastAsia" w:ascii="宋体" w:hAnsi="宋体" w:cs="宋体"/>
          <w:b/>
          <w:sz w:val="24"/>
          <w:lang w:val="en-US" w:eastAsia="zh-CN"/>
        </w:rPr>
        <w:t>11</w:t>
      </w:r>
      <w:r>
        <w:rPr>
          <w:rFonts w:hint="eastAsia" w:ascii="宋体" w:hAnsi="宋体" w:eastAsia="宋体" w:cs="宋体"/>
          <w:b/>
          <w:sz w:val="24"/>
        </w:rPr>
        <w:t>月</w:t>
      </w:r>
      <w:r>
        <w:rPr>
          <w:rFonts w:hint="eastAsia" w:ascii="宋体" w:hAnsi="宋体" w:cs="宋体"/>
          <w:b/>
          <w:sz w:val="24"/>
          <w:lang w:val="en-US" w:eastAsia="zh-CN"/>
        </w:rPr>
        <w:t>14</w:t>
      </w:r>
      <w:r>
        <w:rPr>
          <w:rFonts w:hint="eastAsia" w:ascii="宋体" w:hAnsi="宋体" w:eastAsia="宋体" w:cs="宋体"/>
          <w:b/>
          <w:sz w:val="24"/>
        </w:rPr>
        <w:t>日—202</w:t>
      </w:r>
      <w:r>
        <w:rPr>
          <w:rFonts w:hint="eastAsia" w:ascii="宋体" w:hAnsi="宋体" w:eastAsia="宋体" w:cs="宋体"/>
          <w:b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24"/>
        </w:rPr>
        <w:t>年</w:t>
      </w:r>
      <w:r>
        <w:rPr>
          <w:rFonts w:hint="eastAsia" w:ascii="宋体" w:hAnsi="宋体" w:cs="宋体"/>
          <w:b/>
          <w:sz w:val="24"/>
          <w:lang w:val="en-US" w:eastAsia="zh-CN"/>
        </w:rPr>
        <w:t>11</w:t>
      </w:r>
      <w:r>
        <w:rPr>
          <w:rFonts w:hint="eastAsia" w:ascii="宋体" w:hAnsi="宋体" w:eastAsia="宋体" w:cs="宋体"/>
          <w:b/>
          <w:sz w:val="24"/>
        </w:rPr>
        <w:t>月</w:t>
      </w:r>
      <w:r>
        <w:rPr>
          <w:rFonts w:hint="eastAsia" w:ascii="宋体" w:hAnsi="宋体" w:cs="宋体"/>
          <w:b/>
          <w:sz w:val="24"/>
          <w:lang w:val="en-US" w:eastAsia="zh-CN"/>
        </w:rPr>
        <w:t>16</w:t>
      </w:r>
      <w:r>
        <w:rPr>
          <w:rFonts w:hint="eastAsia" w:ascii="宋体" w:hAnsi="宋体" w:eastAsia="宋体" w:cs="宋体"/>
          <w:b/>
          <w:sz w:val="24"/>
        </w:rPr>
        <w:t>日</w:t>
      </w:r>
      <w:bookmarkStart w:id="2" w:name="_GoBack"/>
      <w:bookmarkEnd w:id="2"/>
      <w:r>
        <w:rPr>
          <w:rFonts w:hint="eastAsia" w:ascii="宋体" w:hAnsi="宋体" w:eastAsia="宋体" w:cs="宋体"/>
          <w:b/>
          <w:sz w:val="24"/>
        </w:rPr>
        <w:t>)</w:t>
      </w:r>
    </w:p>
    <w:tbl>
      <w:tblPr>
        <w:tblStyle w:val="11"/>
        <w:tblW w:w="96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9"/>
        <w:gridCol w:w="1857"/>
        <w:gridCol w:w="926"/>
        <w:gridCol w:w="1851"/>
        <w:gridCol w:w="1262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 目 名 称</w:t>
            </w:r>
          </w:p>
        </w:tc>
        <w:tc>
          <w:tcPr>
            <w:tcW w:w="78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渝湘复线彭酉段（K15+270～K105+360）机电设备采购项目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招标公告编号</w:t>
            </w:r>
          </w:p>
        </w:tc>
        <w:tc>
          <w:tcPr>
            <w:tcW w:w="78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0611-2300780732B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   标   人</w:t>
            </w:r>
          </w:p>
        </w:tc>
        <w:tc>
          <w:tcPr>
            <w:tcW w:w="4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重庆首讯科技股份有限公司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中国铁建电气化局集团有限公司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中铁建设集团有限公司</w:t>
            </w:r>
          </w:p>
        </w:tc>
        <w:tc>
          <w:tcPr>
            <w:tcW w:w="12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18523731590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招标代理机构</w:t>
            </w:r>
          </w:p>
        </w:tc>
        <w:tc>
          <w:tcPr>
            <w:tcW w:w="4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重庆市投资咨询有限公司</w:t>
            </w:r>
          </w:p>
        </w:tc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13983603174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8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包件12：风机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第一中标候选人</w:t>
            </w:r>
          </w:p>
        </w:tc>
        <w:tc>
          <w:tcPr>
            <w:tcW w:w="59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浙江精创风机有限公司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8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第二中标候选人</w:t>
            </w:r>
          </w:p>
        </w:tc>
        <w:tc>
          <w:tcPr>
            <w:tcW w:w="59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四川运成风机制造有限公司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8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第三中标候选人</w:t>
            </w:r>
          </w:p>
        </w:tc>
        <w:tc>
          <w:tcPr>
            <w:tcW w:w="59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无锡嘉马科技有限公司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8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拟中标人</w:t>
            </w:r>
          </w:p>
        </w:tc>
        <w:tc>
          <w:tcPr>
            <w:tcW w:w="2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浙江精创风机有限公司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中标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金额（元）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5755580.00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8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投诉受理部门</w:t>
            </w:r>
          </w:p>
        </w:tc>
        <w:tc>
          <w:tcPr>
            <w:tcW w:w="463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重庆首讯科技股份有限公司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中国铁建电气化局集团有限公司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中铁建设集团有限公司</w:t>
            </w:r>
          </w:p>
        </w:tc>
        <w:tc>
          <w:tcPr>
            <w:tcW w:w="12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18523731590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3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3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  <w:jc w:val="center"/>
        </w:trPr>
        <w:tc>
          <w:tcPr>
            <w:tcW w:w="46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招标人：重庆首讯科技股份有限公司、</w:t>
            </w:r>
          </w:p>
          <w:p>
            <w:pPr>
              <w:ind w:firstLine="840" w:firstLineChars="40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中国铁建电气化局集团有限公司、</w:t>
            </w:r>
          </w:p>
          <w:p>
            <w:pPr>
              <w:ind w:firstLine="840" w:firstLineChars="4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中铁建设集团有限公司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  <w:tc>
          <w:tcPr>
            <w:tcW w:w="50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招标代理机构：重庆市投资咨询有限公司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</w:tr>
    </w:tbl>
    <w:p>
      <w:pPr>
        <w:ind w:left="-619" w:leftChars="-295" w:right="-506" w:rightChars="-241" w:firstLine="0" w:firstLineChars="0"/>
        <w:jc w:val="both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备注：1、投标人或者其他利害关系人对中标结果公示有异议的，应当先向招标人提出异议，由招标人及其招标代理机构答复；对答复不满意的，才能向有关行政部门投诉。投诉应当按照《工程建设项目招标投标活动投诉处理办法》（国家发展改革委等七部委令第11号）和《重庆市招标投标活动投诉处理实施细则》（渝发改标[2014]1168号）执行。</w:t>
      </w:r>
    </w:p>
    <w:p>
      <w:pPr>
        <w:ind w:left="-619" w:leftChars="-295" w:firstLine="0" w:firstLineChars="0"/>
        <w:jc w:val="both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2、项目如划分多个标段(合同包)的，应按不同合同段分别填写“标段(合同包)名称”、“中标候选人及排序”、“拟中标人”。自行招标的，招标代理机构一栏不填；</w:t>
      </w:r>
    </w:p>
    <w:p>
      <w:pPr>
        <w:pStyle w:val="2"/>
        <w:rPr>
          <w:rFonts w:hint="eastAsia"/>
        </w:rPr>
      </w:pPr>
    </w:p>
    <w:sectPr>
      <w:pgSz w:w="11906" w:h="16838"/>
      <w:pgMar w:top="1440" w:right="1797" w:bottom="5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MTA5YTdiN2Q4YWFlNzI3NGI0NzMwNjM1N2MxNDgifQ=="/>
  </w:docVars>
  <w:rsids>
    <w:rsidRoot w:val="00172A27"/>
    <w:rsid w:val="00017261"/>
    <w:rsid w:val="00051422"/>
    <w:rsid w:val="000E6071"/>
    <w:rsid w:val="001C2B04"/>
    <w:rsid w:val="00241B62"/>
    <w:rsid w:val="00285308"/>
    <w:rsid w:val="002C31AC"/>
    <w:rsid w:val="00402417"/>
    <w:rsid w:val="00405F42"/>
    <w:rsid w:val="004152B9"/>
    <w:rsid w:val="004407A0"/>
    <w:rsid w:val="00470A6B"/>
    <w:rsid w:val="00514F48"/>
    <w:rsid w:val="005B2E28"/>
    <w:rsid w:val="00602685"/>
    <w:rsid w:val="006319A6"/>
    <w:rsid w:val="00694632"/>
    <w:rsid w:val="006B5EB7"/>
    <w:rsid w:val="006D0DB3"/>
    <w:rsid w:val="006F0805"/>
    <w:rsid w:val="00716DDF"/>
    <w:rsid w:val="007E5A1A"/>
    <w:rsid w:val="0081750D"/>
    <w:rsid w:val="00871151"/>
    <w:rsid w:val="008948D4"/>
    <w:rsid w:val="008C57EA"/>
    <w:rsid w:val="0091253C"/>
    <w:rsid w:val="009E6BA4"/>
    <w:rsid w:val="00A24881"/>
    <w:rsid w:val="00A32CE8"/>
    <w:rsid w:val="00A3346E"/>
    <w:rsid w:val="00A562E9"/>
    <w:rsid w:val="00A75C88"/>
    <w:rsid w:val="00B77BA6"/>
    <w:rsid w:val="00BC0FFD"/>
    <w:rsid w:val="00C40F26"/>
    <w:rsid w:val="00C87289"/>
    <w:rsid w:val="00D51023"/>
    <w:rsid w:val="00D53484"/>
    <w:rsid w:val="00DE1170"/>
    <w:rsid w:val="00DE59D1"/>
    <w:rsid w:val="00DF0352"/>
    <w:rsid w:val="00DF47DB"/>
    <w:rsid w:val="00EA25A7"/>
    <w:rsid w:val="00F57094"/>
    <w:rsid w:val="00F72A84"/>
    <w:rsid w:val="00FC0416"/>
    <w:rsid w:val="047563BF"/>
    <w:rsid w:val="05B92C36"/>
    <w:rsid w:val="097C42DE"/>
    <w:rsid w:val="17771FF6"/>
    <w:rsid w:val="17BE6956"/>
    <w:rsid w:val="19B543A5"/>
    <w:rsid w:val="1EF65EF6"/>
    <w:rsid w:val="1FFE32B4"/>
    <w:rsid w:val="280953B3"/>
    <w:rsid w:val="29133622"/>
    <w:rsid w:val="35362C0F"/>
    <w:rsid w:val="38E2331B"/>
    <w:rsid w:val="3C862210"/>
    <w:rsid w:val="44546EC2"/>
    <w:rsid w:val="45A57BAB"/>
    <w:rsid w:val="57081D47"/>
    <w:rsid w:val="63C27720"/>
    <w:rsid w:val="688E56A0"/>
    <w:rsid w:val="6D035033"/>
    <w:rsid w:val="6D5407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qFormat="1" w:uiPriority="99" w:semiHidden="0" w:name="HTML Acronym"/>
    <w:lsdException w:uiPriority="99" w:name="HTML Address"/>
    <w:lsdException w:uiPriority="99" w:semiHidden="0" w:name="HTML Cite"/>
    <w:lsdException w:uiPriority="99" w:semiHidden="0" w:name="HTML Code"/>
    <w:lsdException w:qFormat="1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semiHidden="0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9"/>
    <w:pPr>
      <w:keepNext/>
      <w:keepLines/>
      <w:spacing w:before="260" w:beforeLines="0" w:after="260" w:afterLines="0" w:line="413" w:lineRule="auto"/>
      <w:outlineLvl w:val="2"/>
    </w:pPr>
    <w:rPr>
      <w:rFonts w:cs="Times New Roman"/>
      <w:b/>
      <w:bCs/>
      <w:color w:val="000000"/>
      <w:kern w:val="0"/>
      <w:sz w:val="32"/>
      <w:szCs w:val="32"/>
    </w:rPr>
  </w:style>
  <w:style w:type="paragraph" w:styleId="4">
    <w:name w:val="heading 4"/>
    <w:basedOn w:val="1"/>
    <w:next w:val="1"/>
    <w:qFormat/>
    <w:uiPriority w:val="9"/>
    <w:pPr>
      <w:spacing w:before="100" w:beforeLines="0" w:beforeAutospacing="1" w:after="100" w:afterLines="0" w:afterAutospacing="1"/>
      <w:jc w:val="left"/>
      <w:outlineLvl w:val="3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13">
    <w:name w:val="Default Paragraph Font"/>
    <w:uiPriority w:val="0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rPr>
      <w:sz w:val="24"/>
      <w:szCs w:val="20"/>
    </w:rPr>
  </w:style>
  <w:style w:type="paragraph" w:styleId="5">
    <w:name w:val="Body Text 3"/>
    <w:basedOn w:val="1"/>
    <w:unhideWhenUsed/>
    <w:qFormat/>
    <w:uiPriority w:val="99"/>
    <w:rPr>
      <w:rFonts w:ascii="宋体" w:hAnsi="宋体" w:cs="Times New Roman"/>
      <w:color w:val="000000"/>
      <w:kern w:val="1"/>
      <w:sz w:val="20"/>
      <w:szCs w:val="20"/>
    </w:rPr>
  </w:style>
  <w:style w:type="paragraph" w:styleId="6">
    <w:name w:val="Balloon Text"/>
    <w:basedOn w:val="1"/>
    <w:link w:val="23"/>
    <w:unhideWhenUsed/>
    <w:uiPriority w:val="99"/>
    <w:rPr>
      <w:sz w:val="18"/>
      <w:szCs w:val="18"/>
    </w:rPr>
  </w:style>
  <w:style w:type="paragraph" w:styleId="7">
    <w:name w:val="footer"/>
    <w:basedOn w:val="1"/>
    <w:link w:val="2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unhideWhenUsed/>
    <w:uiPriority w:val="99"/>
    <w:rPr>
      <w:rFonts w:ascii="宋体" w:cs="Times New Roman"/>
      <w:sz w:val="24"/>
      <w:szCs w:val="24"/>
    </w:rPr>
  </w:style>
  <w:style w:type="paragraph" w:styleId="10">
    <w:name w:val="Title"/>
    <w:basedOn w:val="1"/>
    <w:next w:val="1"/>
    <w:qFormat/>
    <w:uiPriority w:val="0"/>
    <w:pPr>
      <w:jc w:val="center"/>
    </w:pPr>
    <w:rPr>
      <w:kern w:val="0"/>
      <w:sz w:val="20"/>
      <w:u w:val="single"/>
      <w:lang w:eastAsia="en-US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qFormat/>
    <w:uiPriority w:val="22"/>
  </w:style>
  <w:style w:type="character" w:styleId="15">
    <w:name w:val="FollowedHyperlink"/>
    <w:unhideWhenUsed/>
    <w:uiPriority w:val="99"/>
    <w:rPr>
      <w:color w:val="800080"/>
      <w:u w:val="none"/>
    </w:rPr>
  </w:style>
  <w:style w:type="character" w:styleId="16">
    <w:name w:val="Emphasis"/>
    <w:qFormat/>
    <w:uiPriority w:val="20"/>
  </w:style>
  <w:style w:type="character" w:styleId="17">
    <w:name w:val="HTML Definition"/>
    <w:unhideWhenUsed/>
    <w:qFormat/>
    <w:uiPriority w:val="99"/>
  </w:style>
  <w:style w:type="character" w:styleId="18">
    <w:name w:val="HTML Acronym"/>
    <w:basedOn w:val="13"/>
    <w:unhideWhenUsed/>
    <w:qFormat/>
    <w:uiPriority w:val="99"/>
  </w:style>
  <w:style w:type="character" w:styleId="19">
    <w:name w:val="HTML Variable"/>
    <w:unhideWhenUsed/>
    <w:uiPriority w:val="99"/>
  </w:style>
  <w:style w:type="character" w:styleId="20">
    <w:name w:val="Hyperlink"/>
    <w:unhideWhenUsed/>
    <w:qFormat/>
    <w:uiPriority w:val="99"/>
    <w:rPr>
      <w:color w:val="0000FF"/>
      <w:u w:val="none"/>
    </w:rPr>
  </w:style>
  <w:style w:type="character" w:styleId="21">
    <w:name w:val="HTML Code"/>
    <w:unhideWhenUsed/>
    <w:uiPriority w:val="99"/>
    <w:rPr>
      <w:rFonts w:ascii="Courier New" w:hAnsi="Courier New"/>
      <w:sz w:val="20"/>
    </w:rPr>
  </w:style>
  <w:style w:type="character" w:styleId="22">
    <w:name w:val="HTML Cite"/>
    <w:unhideWhenUsed/>
    <w:uiPriority w:val="99"/>
  </w:style>
  <w:style w:type="character" w:customStyle="1" w:styleId="23">
    <w:name w:val="批注框文本 字符"/>
    <w:link w:val="6"/>
    <w:semiHidden/>
    <w:uiPriority w:val="99"/>
    <w:rPr>
      <w:kern w:val="2"/>
      <w:sz w:val="18"/>
      <w:szCs w:val="18"/>
    </w:rPr>
  </w:style>
  <w:style w:type="character" w:customStyle="1" w:styleId="24">
    <w:name w:val="页脚 字符"/>
    <w:link w:val="7"/>
    <w:uiPriority w:val="0"/>
    <w:rPr>
      <w:kern w:val="2"/>
      <w:sz w:val="18"/>
      <w:szCs w:val="18"/>
    </w:rPr>
  </w:style>
  <w:style w:type="character" w:customStyle="1" w:styleId="25">
    <w:name w:val="页眉 字符"/>
    <w:link w:val="8"/>
    <w:uiPriority w:val="0"/>
    <w:rPr>
      <w:kern w:val="2"/>
      <w:sz w:val="18"/>
      <w:szCs w:val="18"/>
    </w:rPr>
  </w:style>
  <w:style w:type="character" w:customStyle="1" w:styleId="26">
    <w:name w:val="lab_xmbh"/>
    <w:basedOn w:val="13"/>
    <w:uiPriority w:val="0"/>
  </w:style>
  <w:style w:type="character" w:customStyle="1" w:styleId="27">
    <w:name w:val="lab_sshy"/>
    <w:basedOn w:val="13"/>
    <w:uiPriority w:val="0"/>
  </w:style>
  <w:style w:type="character" w:customStyle="1" w:styleId="28">
    <w:name w:val="lab_wf5"/>
    <w:basedOn w:val="13"/>
    <w:qFormat/>
    <w:uiPriority w:val="0"/>
  </w:style>
  <w:style w:type="character" w:customStyle="1" w:styleId="29">
    <w:name w:val="lab_wf1"/>
    <w:basedOn w:val="13"/>
    <w:uiPriority w:val="0"/>
  </w:style>
  <w:style w:type="character" w:customStyle="1" w:styleId="30">
    <w:name w:val="before"/>
    <w:uiPriority w:val="0"/>
    <w:rPr>
      <w:shd w:val="clear" w:color="auto" w:fill="E22323"/>
    </w:rPr>
  </w:style>
  <w:style w:type="character" w:customStyle="1" w:styleId="31">
    <w:name w:val="lab_xmmc"/>
    <w:basedOn w:val="13"/>
    <w:uiPriority w:val="0"/>
  </w:style>
  <w:style w:type="character" w:customStyle="1" w:styleId="32">
    <w:name w:val="zb_zblb"/>
    <w:basedOn w:val="13"/>
    <w:uiPriority w:val="0"/>
  </w:style>
  <w:style w:type="character" w:customStyle="1" w:styleId="33">
    <w:name w:val="lab_sshy_yd7"/>
    <w:basedOn w:val="13"/>
    <w:uiPriority w:val="0"/>
  </w:style>
  <w:style w:type="character" w:customStyle="1" w:styleId="34">
    <w:name w:val="lab_wf7"/>
    <w:basedOn w:val="13"/>
    <w:uiPriority w:val="0"/>
  </w:style>
  <w:style w:type="character" w:customStyle="1" w:styleId="35">
    <w:name w:val="hover"/>
    <w:uiPriority w:val="0"/>
    <w:rPr>
      <w:color w:val="0063BA"/>
    </w:rPr>
  </w:style>
  <w:style w:type="character" w:customStyle="1" w:styleId="36">
    <w:name w:val="lab_fbrq_yd3"/>
    <w:basedOn w:val="13"/>
    <w:uiPriority w:val="0"/>
  </w:style>
  <w:style w:type="character" w:customStyle="1" w:styleId="37">
    <w:name w:val="lab_ssqx_yd9"/>
    <w:basedOn w:val="13"/>
    <w:uiPriority w:val="0"/>
  </w:style>
  <w:style w:type="character" w:customStyle="1" w:styleId="38">
    <w:name w:val="lab_ssqx_yd8"/>
    <w:basedOn w:val="13"/>
    <w:qFormat/>
    <w:uiPriority w:val="0"/>
  </w:style>
  <w:style w:type="character" w:customStyle="1" w:styleId="39">
    <w:name w:val="lab_zblb_yd6"/>
    <w:basedOn w:val="13"/>
    <w:uiPriority w:val="0"/>
  </w:style>
  <w:style w:type="character" w:customStyle="1" w:styleId="40">
    <w:name w:val="lab_ssqx"/>
    <w:basedOn w:val="13"/>
    <w:uiPriority w:val="0"/>
  </w:style>
  <w:style w:type="character" w:customStyle="1" w:styleId="41">
    <w:name w:val="lab_jydd"/>
    <w:basedOn w:val="13"/>
    <w:qFormat/>
    <w:uiPriority w:val="0"/>
  </w:style>
  <w:style w:type="character" w:customStyle="1" w:styleId="42">
    <w:name w:val="lab_wf3"/>
    <w:uiPriority w:val="0"/>
    <w:rPr>
      <w:color w:val="FF0000"/>
    </w:rPr>
  </w:style>
  <w:style w:type="character" w:customStyle="1" w:styleId="43">
    <w:name w:val="lab_wf2"/>
    <w:basedOn w:val="13"/>
    <w:uiPriority w:val="0"/>
  </w:style>
  <w:style w:type="character" w:customStyle="1" w:styleId="44">
    <w:name w:val="lab_xmmc_yd1"/>
    <w:basedOn w:val="13"/>
    <w:uiPriority w:val="0"/>
  </w:style>
  <w:style w:type="character" w:customStyle="1" w:styleId="45">
    <w:name w:val="lab_zblb"/>
    <w:basedOn w:val="13"/>
    <w:uiPriority w:val="0"/>
  </w:style>
  <w:style w:type="character" w:customStyle="1" w:styleId="46">
    <w:name w:val="lab_fbrq"/>
    <w:basedOn w:val="13"/>
    <w:uiPriority w:val="0"/>
  </w:style>
  <w:style w:type="character" w:customStyle="1" w:styleId="47">
    <w:name w:val="hover5"/>
    <w:uiPriority w:val="0"/>
    <w:rPr>
      <w:color w:val="0063BA"/>
    </w:rPr>
  </w:style>
  <w:style w:type="character" w:customStyle="1" w:styleId="48">
    <w:name w:val="lab_wf4"/>
    <w:qFormat/>
    <w:uiPriority w:val="0"/>
    <w:rPr>
      <w:color w:val="FF0000"/>
    </w:rPr>
  </w:style>
  <w:style w:type="character" w:customStyle="1" w:styleId="49">
    <w:name w:val="lab_dlgs"/>
    <w:basedOn w:val="13"/>
    <w:uiPriority w:val="0"/>
  </w:style>
  <w:style w:type="character" w:customStyle="1" w:styleId="50">
    <w:name w:val="lab_xmbh_yd2"/>
    <w:basedOn w:val="13"/>
    <w:uiPriority w:val="0"/>
  </w:style>
  <w:style w:type="character" w:customStyle="1" w:styleId="51">
    <w:name w:val="lab_wf6"/>
    <w:basedOn w:val="13"/>
    <w:uiPriority w:val="0"/>
  </w:style>
  <w:style w:type="character" w:customStyle="1" w:styleId="52">
    <w:name w:val="lab_dlgs_yd8"/>
    <w:basedOn w:val="13"/>
    <w:uiPriority w:val="0"/>
  </w:style>
  <w:style w:type="character" w:customStyle="1" w:styleId="53">
    <w:name w:val="margin_right202"/>
    <w:basedOn w:val="13"/>
    <w:uiPriority w:val="0"/>
  </w:style>
  <w:style w:type="character" w:customStyle="1" w:styleId="54">
    <w:name w:val="active6"/>
    <w:basedOn w:val="13"/>
    <w:uiPriority w:val="0"/>
    <w:rPr>
      <w:color w:val="FFFFFF"/>
      <w:shd w:val="clear" w:color="auto" w:fill="E2232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536</Words>
  <Characters>637</Characters>
  <Lines>4</Lines>
  <Paragraphs>1</Paragraphs>
  <TotalTime>0</TotalTime>
  <ScaleCrop>false</ScaleCrop>
  <LinksUpToDate>false</LinksUpToDate>
  <CharactersWithSpaces>660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2014-01-09T01:43:00Z</dcterms:created>
  <dc:creator>Lenovo User</dc:creator>
  <cp:lastModifiedBy>投资咨询公司</cp:lastModifiedBy>
  <cp:lastPrinted>2019-12-31T01:36:00Z</cp:lastPrinted>
  <dcterms:modified xsi:type="dcterms:W3CDTF">2023-11-14T01:39:02Z</dcterms:modified>
  <dc:title>项 目 名 称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87CB47A95C4C400FA66B2CC9D965BEC3_13</vt:lpwstr>
  </property>
</Properties>
</file>