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hAnsi="方正小标宋_GBK" w:eastAsia="方正小标宋_GBK" w:cs="方正小标宋_GBK"/>
          <w:color w:val="000000"/>
          <w:spacing w:val="-2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/>
          <w:spacing w:val="-20"/>
          <w:sz w:val="44"/>
          <w:szCs w:val="44"/>
        </w:rPr>
        <w:t>重庆轨道交通信号专业成都铁路通信单一来源物资采购项目B23Q4-135</w:t>
      </w:r>
      <w:r>
        <w:rPr>
          <w:rFonts w:hint="eastAsia" w:ascii="方正小标宋_GBK" w:hAnsi="方正小标宋_GBK" w:eastAsia="方正小标宋_GBK" w:cs="方正小标宋_GBK"/>
          <w:color w:val="000000"/>
          <w:spacing w:val="-20"/>
          <w:sz w:val="44"/>
          <w:szCs w:val="44"/>
          <w:lang w:val="en-US" w:eastAsia="zh-CN"/>
        </w:rPr>
        <w:t>单一来源</w:t>
      </w:r>
      <w:r>
        <w:rPr>
          <w:rFonts w:hint="eastAsia" w:ascii="方正小标宋_GBK" w:hAnsi="方正小标宋_GBK" w:eastAsia="方正小标宋_GBK" w:cs="方正小标宋_GBK"/>
          <w:color w:val="000000"/>
          <w:spacing w:val="-20"/>
          <w:sz w:val="44"/>
          <w:szCs w:val="44"/>
        </w:rPr>
        <w:t>公示</w:t>
      </w:r>
    </w:p>
    <w:tbl>
      <w:tblPr>
        <w:tblStyle w:val="17"/>
        <w:tblW w:w="9540" w:type="dxa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70"/>
        <w:gridCol w:w="4770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hint="default" w:ascii="方正仿宋_GBK" w:hAnsi="宋体" w:eastAsia="方正仿宋_GBK" w:cs="宋体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公告编号DYLY-202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-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16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ascii="方正仿宋_GBK" w:hAnsi="FZShuSong-Z01S" w:cs="FZShuSong-Z01S"/>
                <w:color w:val="000000"/>
                <w:sz w:val="30"/>
                <w:szCs w:val="30"/>
              </w:rPr>
            </w:pPr>
            <w:bookmarkStart w:id="0" w:name="_GoBack" w:colFirst="0" w:colLast="1"/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发布日期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:2024年3月25日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ascii="方正仿宋_GBK" w:hAnsi="FZShuSong-Z01S" w:cs="FZShuSong-Z01S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截止日期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:2024年4月8日</w:t>
            </w:r>
          </w:p>
        </w:tc>
      </w:tr>
      <w:bookmarkEnd w:id="0"/>
    </w:tbl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一、采购人名称：重庆市轨道交通（集团）有限公司</w:t>
      </w:r>
      <w:r>
        <w:rPr>
          <w:rFonts w:hint="eastAsia" w:ascii="宋体" w:hAnsi="宋体" w:cs="宋体"/>
          <w:color w:val="000000"/>
          <w:sz w:val="30"/>
          <w:szCs w:val="30"/>
          <w:shd w:val="clear" w:color="auto" w:fill="FFFFFF"/>
        </w:rPr>
        <w:t> 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采购项目名称：重庆轨道交通信号专业成都铁路通信单一来源物资采购项目B23Q4-135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ind w:left="315" w:hanging="315" w:hangingChars="10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二、采购内容：该项目主要采购物资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为计轴主机柜配件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eastAsia="zh-CN"/>
        </w:rPr>
        <w:t>，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主要用在日常维修及零部件到达使用年限进行更换。</w:t>
      </w:r>
      <w:r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  <w:t xml:space="preserve"> 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="宋体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三、拟采用的采购方式：单一来源采购</w:t>
      </w:r>
      <w:r>
        <w:rPr>
          <w:rFonts w:hint="eastAsia" w:ascii="方正仿宋_GBK" w:hAnsi="FZShuSong-Z01S" w:cs="FZShuSong-Z01S"/>
          <w:color w:val="000000"/>
          <w:sz w:val="30"/>
          <w:szCs w:val="30"/>
          <w:shd w:val="clear" w:color="auto" w:fill="FFFFFF"/>
        </w:rPr>
        <w:br w:type="textWrapping"/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四、拟定供应商：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成都铁路通信设备有限责任公司</w:t>
      </w:r>
      <w:r>
        <w:rPr>
          <w:rFonts w:hint="eastAsia" w:ascii="宋体" w:hAnsi="宋体" w:cs="宋体"/>
          <w:color w:val="000000"/>
          <w:sz w:val="30"/>
          <w:szCs w:val="30"/>
          <w:shd w:val="clear" w:color="auto" w:fill="FFFFFF"/>
        </w:rPr>
        <w:t> 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五、单一来源采购依据：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（一）因货物或者服务使用不可替代的专利、专有技术，只能由原生产厂家或生产厂家的独家代理商供应，具有完全不可替代性。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（二）改变承包商、供应商或服务提供商将影响功能配套要求，存在安全风险。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（三）发生了不可预见的紧急情况不能从其他供应商采购的。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六、异议受理渠道及方式：</w:t>
      </w:r>
      <w:r>
        <w:rPr>
          <w:rFonts w:hint="eastAsia" w:ascii="方正仿宋_GBK" w:hAnsi="FZShuSong-Z01S" w:cs="FZShuSong-Z01S"/>
          <w:color w:val="000000"/>
          <w:sz w:val="30"/>
          <w:szCs w:val="30"/>
          <w:shd w:val="clear" w:color="auto" w:fill="FFFFFF"/>
        </w:rPr>
        <w:br w:type="textWrapping"/>
      </w:r>
      <w:r>
        <w:rPr>
          <w:rFonts w:hint="eastAsia" w:ascii="宋体" w:hAnsi="宋体" w:cs="宋体"/>
          <w:color w:val="000000"/>
          <w:sz w:val="30"/>
          <w:szCs w:val="30"/>
          <w:shd w:val="clear" w:color="auto" w:fill="FFFFFF"/>
        </w:rPr>
        <w:t>  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对该项目拟采用直接谈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 xml:space="preserve">9  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判方式及其采购项目有异议的，可以自本公示发出之日起</w:t>
      </w:r>
      <w:r>
        <w:rPr>
          <w:rFonts w:hint="eastAsia" w:ascii="方正仿宋_GBK" w:hAnsi="宋体" w:cs="宋体"/>
          <w:color w:val="000000"/>
          <w:sz w:val="30"/>
          <w:szCs w:val="30"/>
          <w:u w:val="single"/>
          <w:shd w:val="clear" w:color="auto" w:fill="FFFFFF"/>
        </w:rPr>
        <w:t>十五天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内向采购人提出书面意见，异议应当有明确的请求和必要的证明材料。公示期结束后，若无异议，则与公示的拟定供应商进行直接谈判。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采购人：重庆市轨道交通（集团）有限公司（盖章）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联系人：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刘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老师   电话：023-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63358570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异议受理单位：重庆市轨道交通（集团）有限公司运营管理中心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 xml:space="preserve">异议受理电话: 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 xml:space="preserve">熊耀 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023-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68002752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招标代理公司：重庆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国际投资咨询集团有限公司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（盖章）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联系人：傅菁     电话：023-67703006</w:t>
      </w:r>
    </w:p>
    <w:tbl>
      <w:tblPr>
        <w:tblStyle w:val="17"/>
        <w:tblW w:w="8963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755"/>
        <w:gridCol w:w="1384"/>
        <w:gridCol w:w="1316"/>
        <w:gridCol w:w="1117"/>
        <w:gridCol w:w="1350"/>
        <w:gridCol w:w="1327"/>
        <w:gridCol w:w="573"/>
        <w:gridCol w:w="57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30"/>
                <w:szCs w:val="30"/>
              </w:rPr>
              <w:t>附件：采购清单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540" w:hRule="atLeast"/>
        </w:trPr>
        <w:tc>
          <w:tcPr>
            <w:tcW w:w="568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755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编码</w:t>
            </w:r>
          </w:p>
        </w:tc>
        <w:tc>
          <w:tcPr>
            <w:tcW w:w="1384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物资描述</w:t>
            </w:r>
          </w:p>
        </w:tc>
        <w:tc>
          <w:tcPr>
            <w:tcW w:w="1316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117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特征参数</w:t>
            </w:r>
          </w:p>
        </w:tc>
        <w:tc>
          <w:tcPr>
            <w:tcW w:w="135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品牌/生产厂商</w:t>
            </w:r>
          </w:p>
        </w:tc>
        <w:tc>
          <w:tcPr>
            <w:tcW w:w="1327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拟定供应商</w:t>
            </w:r>
          </w:p>
        </w:tc>
        <w:tc>
          <w:tcPr>
            <w:tcW w:w="573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Microsoft Sans Serif" w:hAnsi="Microsoft Sans Serif" w:cs="Microsoft Sans Serif"/>
                <w:kern w:val="0"/>
                <w:sz w:val="11"/>
                <w:szCs w:val="1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12045408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Microsoft Sans Serif" w:hAnsi="Microsoft Sans Serif" w:cs="Microsoft Sans Serif"/>
                <w:kern w:val="0"/>
                <w:sz w:val="11"/>
                <w:szCs w:val="1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CG板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X5834.51.02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[车轮电子检测盒]；CG板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kern w:val="0"/>
                <w:sz w:val="2"/>
                <w:szCs w:val="2"/>
                <w:lang w:val="en-US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12042542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计轴条件采集板TCJ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M0321Y1R00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[计轴主机柜]；计轴条件采集板TCJ；接口适用于一号线璧山车场计轴系统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12042544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计轴显示板TXC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M0121Y3R01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[计轴主机柜]；计轴显示板TXC；接口适用于一号线璧山车场计轴系统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12049939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过电压保护板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BSI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[计轴主机柜]；过电压保护板；接口适用于JZ.GD-1型计轴系统；成都铁路通信设备定制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12047042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RSR180型车轮传感器钢轨夹持爪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SK140-BBK11型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[计轴主机柜]；RSR180型车轮传感器钢轨夹持爪；接口适用于JZ.GD-1型计轴系统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12046385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RSR180型车轮传感器钢轨夹持爪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SK140-BBK22型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[计轴主机柜]；RSR180型车轮传感器钢轨夹持爪；接口适用于JZ.GD-1型计轴系统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3"/>
                <w:szCs w:val="13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3"/>
                <w:szCs w:val="13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12049937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EB评估板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IMC004 19...72VDC GS01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[计轴主机柜]；EB评估板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3"/>
                <w:szCs w:val="13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3"/>
                <w:szCs w:val="13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12072741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计轴防雷模块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BSI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[计轴机柜]；计轴防雷模块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3"/>
                <w:szCs w:val="13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3"/>
                <w:szCs w:val="13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12046968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车轮传感器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RSR180/S-250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[计轴主机柜]；车轮传感器；GS03；10m；接口适用于六号线支线JZ.GD-1型计轴系统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3"/>
                <w:szCs w:val="13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3"/>
                <w:szCs w:val="13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12046965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母板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X5835.24.00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[计轴主机柜]；母板1（MB1）；接口适用于六号线支线JZ.GD-1型计轴系统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3"/>
                <w:szCs w:val="13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3"/>
                <w:szCs w:val="13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12046966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母板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X5835.25.00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[计轴主机柜]；母板2（MB2）；接口适用于六号线支线JZ.GD-1型计轴系统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3"/>
                <w:szCs w:val="13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3"/>
                <w:szCs w:val="13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12049938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CPU板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X5853.28.00 K.00.00.V2.0.0.0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[计轴主机柜]；CPU板；接口适用于JZ.GD-1型计轴系统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3"/>
                <w:szCs w:val="13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3"/>
                <w:szCs w:val="13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12046967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ACDC板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X5835.21.00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[计轴主机柜]；ACDC板；接口适用于六号线支线JZ.GD-1型计轴系统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3"/>
                <w:szCs w:val="13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宋体" w:cs="宋体"/>
                <w:color w:val="000000"/>
                <w:sz w:val="13"/>
                <w:szCs w:val="13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成都铁路通信设备有限责任公司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>
      <w:pPr>
        <w:spacing w:line="16" w:lineRule="exact"/>
        <w:ind w:right="561"/>
      </w:pPr>
    </w:p>
    <w:sectPr>
      <w:footerReference r:id="rId3" w:type="default"/>
      <w:footerReference r:id="rId4" w:type="even"/>
      <w:pgSz w:w="11907" w:h="16840"/>
      <w:pgMar w:top="2098" w:right="1474" w:bottom="1984" w:left="1587" w:header="1191" w:footer="1418" w:gutter="0"/>
      <w:pgNumType w:fmt="numberInDash"/>
      <w:cols w:space="720" w:num="1"/>
      <w:docGrid w:type="linesAndChars" w:linePitch="515" w:charSpace="30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00" w:usb3="00000000" w:csb0="0000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FZShuSong-Z01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pict>
        <v:shape id="文本框 1026" o:spid="_x0000_s3073" o:spt="202" type="#_x0000_t202" style="position:absolute;left:0pt;margin-top:-0.85pt;height:33.25pt;width:56.15pt;mso-position-horizontal:outside;mso-position-horizontal-relative:margin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11"/>
                  <w:jc w:val="center"/>
                  <w:rPr>
                    <w:rStyle w:val="16"/>
                    <w:sz w:val="28"/>
                    <w:szCs w:val="28"/>
                  </w:rPr>
                </w:pPr>
                <w:r>
                  <w:rPr>
                    <w:rFonts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16"/>
                    <w:rFonts w:hint="eastAsia" w:asci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16"/>
                    <w:rFonts w:ascii="宋体"/>
                    <w:sz w:val="28"/>
                    <w:szCs w:val="28"/>
                  </w:rPr>
                  <w:t>- 3 -</w:t>
                </w:r>
                <w:r>
                  <w:rPr>
                    <w:rFonts w:ascii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pict>
        <v:shape id="文本框 1025" o:spid="_x0000_s3074" o:spt="202" type="#_x0000_t202" style="position:absolute;left:0pt;margin-left:92.15pt;margin-top:-1.45pt;height:15pt;width:54.15pt;mso-position-horizontal-relative:page;mso-wrap-distance-bottom:0pt;mso-wrap-distance-left:0pt;mso-wrap-distance-right:0pt;mso-wrap-distance-top:0pt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11"/>
                  <w:rPr>
                    <w:rStyle w:val="16"/>
                    <w:sz w:val="24"/>
                  </w:rPr>
                </w:pPr>
                <w:r>
                  <w:rPr>
                    <w:rStyle w:val="16"/>
                    <w:rFonts w:hint="eastAsia" w:ascii="仿宋_GB2312" w:hAnsi="仿宋_GB2312"/>
                    <w:sz w:val="24"/>
                  </w:rPr>
                  <w:t xml:space="preserve"> —</w:t>
                </w:r>
                <w:r>
                  <w:rPr>
                    <w:rStyle w:val="16"/>
                    <w:rFonts w:ascii="仿宋_GB2312" w:hAnsi="仿宋_GB2312"/>
                    <w:sz w:val="24"/>
                  </w:rPr>
                  <w:t xml:space="preserve"> </w:t>
                </w:r>
                <w:r>
                  <w:rPr>
                    <w:rFonts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16"/>
                    <w:rFonts w:hint="eastAsia" w:asci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16"/>
                    <w:rFonts w:ascii="宋体"/>
                    <w:sz w:val="28"/>
                    <w:szCs w:val="28"/>
                  </w:rPr>
                  <w:t>2</w:t>
                </w:r>
                <w:r>
                  <w:rPr>
                    <w:rFonts w:ascii="宋体"/>
                    <w:sz w:val="28"/>
                    <w:szCs w:val="28"/>
                  </w:rPr>
                  <w:fldChar w:fldCharType="end"/>
                </w:r>
                <w:r>
                  <w:rPr>
                    <w:rStyle w:val="16"/>
                    <w:sz w:val="24"/>
                  </w:rPr>
                  <w:t xml:space="preserve"> </w:t>
                </w:r>
                <w:r>
                  <w:rPr>
                    <w:rStyle w:val="16"/>
                    <w:rFonts w:hint="eastAsia" w:ascii="仿宋_GB2312" w:hAnsi="仿宋_GB2312"/>
                    <w:sz w:val="24"/>
                  </w:rPr>
                  <w:t>—</w:t>
                </w:r>
              </w:p>
            </w:txbxContent>
          </v:textbox>
          <w10:wrap type="square"/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0"/>
  <w:bordersDoNotSurroundFooter w:val="0"/>
  <w:doNotTrackMoves/>
  <w:documentProtection w:enforcement="0"/>
  <w:defaultTabStop w:val="425"/>
  <w:drawingGridHorizontalSpacing w:val="225"/>
  <w:drawingGridVerticalSpacing w:val="515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doNotBreakWrappedTables/>
    <w:doNotWrapTextWithPunct/>
    <w:doNotUseEastAsianBreak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ztFileName" w:val="131886276300597974NP"/>
    <w:docVar w:name="aztPrintName" w:val="000000ESAOAPRINT"/>
    <w:docVar w:name="aztPrintType" w:val="2"/>
    <w:docVar w:name="commondata" w:val="eyJoZGlkIjoiNTQ5YjAzNGZmNWRiMWJjMWVlYTRjZmQ5MjM1NDg2YjMifQ=="/>
  </w:docVars>
  <w:rsids>
    <w:rsidRoot w:val="005A6415"/>
    <w:rsid w:val="00017F14"/>
    <w:rsid w:val="0005571E"/>
    <w:rsid w:val="00071862"/>
    <w:rsid w:val="00096DF4"/>
    <w:rsid w:val="000B077C"/>
    <w:rsid w:val="001177DC"/>
    <w:rsid w:val="0012791B"/>
    <w:rsid w:val="001521D6"/>
    <w:rsid w:val="001769D8"/>
    <w:rsid w:val="00225410"/>
    <w:rsid w:val="0022700B"/>
    <w:rsid w:val="00246C97"/>
    <w:rsid w:val="00284131"/>
    <w:rsid w:val="002912AA"/>
    <w:rsid w:val="003C19D3"/>
    <w:rsid w:val="003D2B31"/>
    <w:rsid w:val="003E2BDA"/>
    <w:rsid w:val="004355FA"/>
    <w:rsid w:val="005A6415"/>
    <w:rsid w:val="005F121C"/>
    <w:rsid w:val="00600F92"/>
    <w:rsid w:val="00601DDE"/>
    <w:rsid w:val="00697C80"/>
    <w:rsid w:val="006C3223"/>
    <w:rsid w:val="006D7397"/>
    <w:rsid w:val="006F2B45"/>
    <w:rsid w:val="007426BA"/>
    <w:rsid w:val="0075019C"/>
    <w:rsid w:val="00811AC7"/>
    <w:rsid w:val="008360DC"/>
    <w:rsid w:val="00881E5B"/>
    <w:rsid w:val="008D5930"/>
    <w:rsid w:val="00A33DB6"/>
    <w:rsid w:val="00A346E7"/>
    <w:rsid w:val="00A624A7"/>
    <w:rsid w:val="00AB2BAD"/>
    <w:rsid w:val="00AE571A"/>
    <w:rsid w:val="00B00B91"/>
    <w:rsid w:val="00B45CEE"/>
    <w:rsid w:val="00B9089D"/>
    <w:rsid w:val="00BE15BA"/>
    <w:rsid w:val="00C34307"/>
    <w:rsid w:val="00C72B1D"/>
    <w:rsid w:val="00C820E6"/>
    <w:rsid w:val="00C90C29"/>
    <w:rsid w:val="00CB3DA0"/>
    <w:rsid w:val="00D10C30"/>
    <w:rsid w:val="00D5618C"/>
    <w:rsid w:val="00D611DD"/>
    <w:rsid w:val="00D712F7"/>
    <w:rsid w:val="00D841EB"/>
    <w:rsid w:val="00DC30A0"/>
    <w:rsid w:val="00EC6ED1"/>
    <w:rsid w:val="00F022A3"/>
    <w:rsid w:val="00F639A7"/>
    <w:rsid w:val="00FA7750"/>
    <w:rsid w:val="00FD124C"/>
    <w:rsid w:val="01867BF2"/>
    <w:rsid w:val="05BA66BF"/>
    <w:rsid w:val="06DF4036"/>
    <w:rsid w:val="078512DC"/>
    <w:rsid w:val="09E766E8"/>
    <w:rsid w:val="0A840A16"/>
    <w:rsid w:val="0DAA2292"/>
    <w:rsid w:val="11397E46"/>
    <w:rsid w:val="14D7760D"/>
    <w:rsid w:val="16D809D5"/>
    <w:rsid w:val="1C2B03A4"/>
    <w:rsid w:val="1C9860F5"/>
    <w:rsid w:val="240E2247"/>
    <w:rsid w:val="254A22A8"/>
    <w:rsid w:val="27F51B8F"/>
    <w:rsid w:val="28FA7724"/>
    <w:rsid w:val="29E94048"/>
    <w:rsid w:val="2A5862C6"/>
    <w:rsid w:val="2B805C6E"/>
    <w:rsid w:val="2C351BEE"/>
    <w:rsid w:val="2F611A9A"/>
    <w:rsid w:val="2FD27119"/>
    <w:rsid w:val="35056B9C"/>
    <w:rsid w:val="3594771D"/>
    <w:rsid w:val="386C3D74"/>
    <w:rsid w:val="38B11F08"/>
    <w:rsid w:val="3A420EBD"/>
    <w:rsid w:val="3C132C25"/>
    <w:rsid w:val="3D5427A5"/>
    <w:rsid w:val="3D566E20"/>
    <w:rsid w:val="3DFB7A93"/>
    <w:rsid w:val="3F7E1BB2"/>
    <w:rsid w:val="44982CA6"/>
    <w:rsid w:val="44A44049"/>
    <w:rsid w:val="44A72528"/>
    <w:rsid w:val="45A064C6"/>
    <w:rsid w:val="46677061"/>
    <w:rsid w:val="47FF3DFE"/>
    <w:rsid w:val="4856798E"/>
    <w:rsid w:val="4937506A"/>
    <w:rsid w:val="4A2E4E4B"/>
    <w:rsid w:val="4A400B58"/>
    <w:rsid w:val="4CC812F3"/>
    <w:rsid w:val="4DE973F4"/>
    <w:rsid w:val="50B16E26"/>
    <w:rsid w:val="519F7EAA"/>
    <w:rsid w:val="52C7035B"/>
    <w:rsid w:val="532D4C71"/>
    <w:rsid w:val="53A073C1"/>
    <w:rsid w:val="55252334"/>
    <w:rsid w:val="569020E4"/>
    <w:rsid w:val="593E01EC"/>
    <w:rsid w:val="596843A1"/>
    <w:rsid w:val="5D3E083F"/>
    <w:rsid w:val="5E5442D3"/>
    <w:rsid w:val="61350B71"/>
    <w:rsid w:val="62C0504E"/>
    <w:rsid w:val="634151FF"/>
    <w:rsid w:val="635267A1"/>
    <w:rsid w:val="6994371E"/>
    <w:rsid w:val="6E147C03"/>
    <w:rsid w:val="711D61F8"/>
    <w:rsid w:val="73FF54A0"/>
    <w:rsid w:val="74396C6E"/>
    <w:rsid w:val="745554B0"/>
    <w:rsid w:val="770D01D5"/>
    <w:rsid w:val="7A7865C0"/>
    <w:rsid w:val="7AA7113B"/>
    <w:rsid w:val="7D2A4EED"/>
    <w:rsid w:val="7E451B35"/>
    <w:rsid w:val="7F5D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5">
    <w:name w:val="Default Paragraph Font"/>
    <w:unhideWhenUsed/>
    <w:qFormat/>
    <w:uiPriority w:val="1"/>
  </w:style>
  <w:style w:type="table" w:default="1" w:styleId="1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3">
    <w:name w:val="Document Map"/>
    <w:basedOn w:val="1"/>
    <w:qFormat/>
    <w:uiPriority w:val="0"/>
    <w:pPr>
      <w:shd w:val="clear" w:color="auto" w:fill="000080"/>
    </w:pPr>
  </w:style>
  <w:style w:type="paragraph" w:styleId="4">
    <w:name w:val="annotation text"/>
    <w:qFormat/>
    <w:uiPriority w:val="0"/>
    <w:pPr>
      <w:widowControl w:val="0"/>
    </w:pPr>
    <w:rPr>
      <w:rFonts w:ascii="Times New Roman" w:hAnsi="Times New Roman" w:eastAsia="方正仿宋_GBK" w:cs="Times New Roman"/>
      <w:kern w:val="2"/>
      <w:sz w:val="32"/>
      <w:szCs w:val="22"/>
      <w:lang w:val="en-US" w:eastAsia="zh-CN" w:bidi="ar-SA"/>
    </w:rPr>
  </w:style>
  <w:style w:type="paragraph" w:styleId="5">
    <w:name w:val="Body Text"/>
    <w:basedOn w:val="1"/>
    <w:qFormat/>
    <w:uiPriority w:val="0"/>
    <w:pPr>
      <w:snapToGrid w:val="0"/>
      <w:spacing w:line="260" w:lineRule="exact"/>
    </w:pPr>
  </w:style>
  <w:style w:type="paragraph" w:styleId="6">
    <w:name w:val="Body Text Indent"/>
    <w:basedOn w:val="1"/>
    <w:qFormat/>
    <w:uiPriority w:val="0"/>
    <w:pPr>
      <w:snapToGrid w:val="0"/>
      <w:ind w:left="1260" w:hanging="1260"/>
    </w:pPr>
    <w:rPr>
      <w:rFonts w:ascii="楷体_GB2312" w:hAnsi="楷体_GB2312" w:eastAsia="楷体_GB2312"/>
      <w:sz w:val="24"/>
    </w:rPr>
  </w:style>
  <w:style w:type="paragraph" w:styleId="7">
    <w:name w:val="Plain Text"/>
    <w:basedOn w:val="1"/>
    <w:qFormat/>
    <w:uiPriority w:val="0"/>
    <w:rPr>
      <w:rFonts w:ascii="宋体"/>
    </w:rPr>
  </w:style>
  <w:style w:type="paragraph" w:styleId="8">
    <w:name w:val="Date"/>
    <w:basedOn w:val="1"/>
    <w:next w:val="1"/>
    <w:qFormat/>
    <w:uiPriority w:val="0"/>
  </w:style>
  <w:style w:type="paragraph" w:styleId="9">
    <w:name w:val="Body Text Indent 2"/>
    <w:basedOn w:val="1"/>
    <w:qFormat/>
    <w:uiPriority w:val="0"/>
    <w:pPr>
      <w:ind w:firstLine="600"/>
    </w:pPr>
    <w:rPr>
      <w:rFonts w:ascii="仿宋_GB2312" w:hAnsi="仿宋_GB2312"/>
    </w:rPr>
  </w:style>
  <w:style w:type="paragraph" w:styleId="10">
    <w:name w:val="Balloon Text"/>
    <w:basedOn w:val="1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3">
    <w:name w:val="Body Text Indent 3"/>
    <w:basedOn w:val="1"/>
    <w:qFormat/>
    <w:uiPriority w:val="0"/>
    <w:pPr>
      <w:ind w:firstLine="645"/>
    </w:pPr>
    <w:rPr>
      <w:rFonts w:ascii="仿宋_GB2312" w:hAnsi="仿宋_GB2312"/>
    </w:rPr>
  </w:style>
  <w:style w:type="paragraph" w:styleId="14">
    <w:name w:val="Normal (Web)"/>
    <w:qFormat/>
    <w:uiPriority w:val="99"/>
    <w:pPr>
      <w:widowControl w:val="0"/>
      <w:spacing w:beforeAutospacing="1" w:afterAutospacing="1"/>
    </w:pPr>
    <w:rPr>
      <w:rFonts w:ascii="Times New Roman" w:hAnsi="Times New Roman" w:eastAsia="方正仿宋_GBK" w:cs="Times New Roman"/>
      <w:sz w:val="24"/>
      <w:szCs w:val="22"/>
      <w:lang w:val="en-US" w:eastAsia="zh-CN" w:bidi="ar-SA"/>
    </w:rPr>
  </w:style>
  <w:style w:type="character" w:styleId="16">
    <w:name w:val="page number"/>
    <w:basedOn w:val="15"/>
    <w:qFormat/>
    <w:uiPriority w:val="0"/>
  </w:style>
  <w:style w:type="paragraph" w:customStyle="1" w:styleId="18">
    <w:name w:val="样式1"/>
    <w:basedOn w:val="1"/>
    <w:qFormat/>
    <w:uiPriority w:val="0"/>
    <w:pPr>
      <w:spacing w:line="480" w:lineRule="auto"/>
      <w:jc w:val="center"/>
    </w:pPr>
    <w:rPr>
      <w:rFonts w:ascii="宋体"/>
      <w:b/>
      <w:spacing w:val="-20"/>
      <w:sz w:val="64"/>
      <w:szCs w:val="64"/>
    </w:rPr>
  </w:style>
  <w:style w:type="character" w:customStyle="1" w:styleId="19">
    <w:name w:val="font21"/>
    <w:basedOn w:val="1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0">
    <w:name w:val="font11"/>
    <w:basedOn w:val="15"/>
    <w:qFormat/>
    <w:uiPriority w:val="0"/>
    <w:rPr>
      <w:rFonts w:hint="default" w:ascii="Microsoft Sans Serif" w:hAnsi="Microsoft Sans Serif" w:eastAsia="Microsoft Sans Serif" w:cs="Microsoft Sans Serif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3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中国人民银行办公厅</Company>
  <Pages>2</Pages>
  <Words>591</Words>
  <Characters>669</Characters>
  <Lines>29</Lines>
  <Paragraphs>8</Paragraphs>
  <TotalTime>10</TotalTime>
  <ScaleCrop>false</ScaleCrop>
  <LinksUpToDate>false</LinksUpToDate>
  <CharactersWithSpaces>689</CharactersWithSpaces>
  <Application>WPS Office_10.8.0.6501_F1E327BC-269C-435d-A152-05C5408002CA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2014-10-24T02:05:00Z</dcterms:created>
  <dc:creator>ddd</dc:creator>
  <cp:lastModifiedBy>NTKO</cp:lastModifiedBy>
  <cp:lastPrinted>2024-03-13T02:35:00Z</cp:lastPrinted>
  <dcterms:modified xsi:type="dcterms:W3CDTF">2024-03-25T07:43:21Z</dcterms:modified>
  <dc:title>机密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文件标题">
    <vt:lpwstr>关于印发《单一来源运营物资采购管理办法（修订）》的通知</vt:lpwstr>
  </property>
  <property fmtid="{D5CDD505-2E9C-101B-9397-08002B2CF9AE}" pid="3" name="发文编号">
    <vt:lpwstr>渝轨道发〔2021〕32号</vt:lpwstr>
  </property>
  <property fmtid="{D5CDD505-2E9C-101B-9397-08002B2CF9AE}" pid="4" name="签发人">
    <vt:lpwstr>王峙</vt:lpwstr>
  </property>
  <property fmtid="{D5CDD505-2E9C-101B-9397-08002B2CF9AE}" pid="5" name="主题词">
    <vt:lpwstr>主题词</vt:lpwstr>
  </property>
  <property fmtid="{D5CDD505-2E9C-101B-9397-08002B2CF9AE}" pid="6" name="主送">
    <vt:lpwstr>主送</vt:lpwstr>
  </property>
  <property fmtid="{D5CDD505-2E9C-101B-9397-08002B2CF9AE}" pid="7" name="抄送">
    <vt:lpwstr>抄送</vt:lpwstr>
  </property>
  <property fmtid="{D5CDD505-2E9C-101B-9397-08002B2CF9AE}" pid="8" name="正文部分">
    <vt:lpwstr>正文部分</vt:lpwstr>
  </property>
  <property fmtid="{D5CDD505-2E9C-101B-9397-08002B2CF9AE}" pid="9" name="发文日期">
    <vt:lpwstr>2021年3月3日</vt:lpwstr>
  </property>
  <property fmtid="{D5CDD505-2E9C-101B-9397-08002B2CF9AE}" pid="10" name="打字">
    <vt:lpwstr>打字</vt:lpwstr>
  </property>
  <property fmtid="{D5CDD505-2E9C-101B-9397-08002B2CF9AE}" pid="11" name="校对">
    <vt:lpwstr>校对</vt:lpwstr>
  </property>
  <property fmtid="{D5CDD505-2E9C-101B-9397-08002B2CF9AE}" pid="12" name="印发份数">
    <vt:lpwstr>印发份数</vt:lpwstr>
  </property>
  <property fmtid="{D5CDD505-2E9C-101B-9397-08002B2CF9AE}" pid="13" name="份数">
    <vt:lpwstr>份数</vt:lpwstr>
  </property>
  <property fmtid="{D5CDD505-2E9C-101B-9397-08002B2CF9AE}" pid="14" name="编号">
    <vt:lpwstr>编号</vt:lpwstr>
  </property>
  <property fmtid="{D5CDD505-2E9C-101B-9397-08002B2CF9AE}" pid="15" name="标题">
    <vt:lpwstr>标题</vt:lpwstr>
  </property>
  <property fmtid="{D5CDD505-2E9C-101B-9397-08002B2CF9AE}" pid="16" name="正文">
    <vt:lpwstr>正文</vt:lpwstr>
  </property>
  <property fmtid="{D5CDD505-2E9C-101B-9397-08002B2CF9AE}" pid="17" name="KSOProductBuildVer">
    <vt:lpwstr>2052-10.8.0.6501</vt:lpwstr>
  </property>
  <property fmtid="{D5CDD505-2E9C-101B-9397-08002B2CF9AE}" pid="18" name="ICV">
    <vt:lpwstr>AF8386BA65DB42EC97F0C927610AE232</vt:lpwstr>
  </property>
</Properties>
</file>