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项目名称：重咨集团网络与信息安全技术服务采购</w:t>
      </w:r>
    </w:p>
    <w:p>
      <w:pPr>
        <w:autoSpaceDE w:val="0"/>
        <w:autoSpaceDN w:val="0"/>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项目编号：SFG2400790266A</w:t>
      </w:r>
      <w:bookmarkStart w:id="67" w:name="_GoBack"/>
      <w:bookmarkEnd w:id="67"/>
    </w:p>
    <w:p>
      <w:pPr>
        <w:widowControl/>
        <w:spacing w:line="360" w:lineRule="auto"/>
        <w:ind w:firstLine="675" w:firstLineChars="224"/>
        <w:jc w:val="center"/>
        <w:rPr>
          <w:rFonts w:ascii="宋体"/>
          <w:b/>
          <w:bCs/>
          <w:sz w:val="30"/>
          <w:szCs w:val="30"/>
        </w:rPr>
      </w:pPr>
    </w:p>
    <w:p>
      <w:pPr>
        <w:widowControl/>
        <w:spacing w:line="360" w:lineRule="auto"/>
        <w:ind w:firstLine="675" w:firstLineChars="224"/>
        <w:jc w:val="center"/>
        <w:rPr>
          <w:rFonts w:ascii="宋体"/>
          <w:b/>
          <w:bCs/>
          <w:sz w:val="30"/>
          <w:szCs w:val="30"/>
        </w:rPr>
      </w:pPr>
    </w:p>
    <w:p>
      <w:pPr>
        <w:widowControl/>
        <w:spacing w:line="360" w:lineRule="auto"/>
        <w:ind w:firstLine="675" w:firstLineChars="224"/>
        <w:jc w:val="center"/>
        <w:rPr>
          <w:rFonts w:ascii="宋体"/>
          <w:b/>
          <w:bCs/>
          <w:sz w:val="30"/>
          <w:szCs w:val="30"/>
        </w:rPr>
      </w:pPr>
    </w:p>
    <w:p>
      <w:pPr>
        <w:widowControl/>
        <w:spacing w:line="360" w:lineRule="auto"/>
        <w:ind w:firstLine="675" w:firstLineChars="224"/>
        <w:jc w:val="center"/>
        <w:rPr>
          <w:rFonts w:ascii="宋体"/>
          <w:b/>
          <w:bCs/>
          <w:sz w:val="30"/>
          <w:szCs w:val="30"/>
        </w:rPr>
      </w:pPr>
    </w:p>
    <w:p>
      <w:pPr>
        <w:widowControl/>
        <w:spacing w:line="360" w:lineRule="auto"/>
        <w:ind w:firstLine="675" w:firstLineChars="224"/>
        <w:jc w:val="center"/>
        <w:rPr>
          <w:rFonts w:ascii="宋体"/>
          <w:b/>
          <w:bCs/>
          <w:sz w:val="30"/>
          <w:szCs w:val="30"/>
        </w:rPr>
      </w:pPr>
    </w:p>
    <w:p>
      <w:pPr>
        <w:widowControl/>
        <w:spacing w:line="360" w:lineRule="auto"/>
        <w:jc w:val="center"/>
        <w:rPr>
          <w:rFonts w:ascii="宋体"/>
          <w:kern w:val="0"/>
          <w:sz w:val="44"/>
          <w:szCs w:val="44"/>
        </w:rPr>
      </w:pPr>
      <w:r>
        <w:rPr>
          <w:rFonts w:hint="eastAsia" w:ascii="宋体" w:hAnsi="宋体" w:cs="宋体"/>
          <w:b/>
          <w:bCs/>
          <w:sz w:val="44"/>
          <w:szCs w:val="44"/>
        </w:rPr>
        <w:t>竞争性比选文件</w:t>
      </w:r>
    </w:p>
    <w:p>
      <w:pPr>
        <w:spacing w:line="360" w:lineRule="auto"/>
        <w:ind w:firstLine="672" w:firstLineChars="224"/>
        <w:rPr>
          <w:rFonts w:ascii="宋体"/>
          <w:sz w:val="30"/>
          <w:szCs w:val="30"/>
        </w:rPr>
      </w:pPr>
    </w:p>
    <w:p>
      <w:pPr>
        <w:spacing w:line="360" w:lineRule="auto"/>
        <w:ind w:firstLine="672" w:firstLineChars="224"/>
        <w:jc w:val="center"/>
        <w:rPr>
          <w:rFonts w:ascii="宋体"/>
          <w:sz w:val="30"/>
          <w:szCs w:val="30"/>
        </w:rPr>
      </w:pPr>
      <w:r>
        <w:rPr>
          <w:rFonts w:hint="eastAsia" w:ascii="宋体"/>
          <w:sz w:val="30"/>
          <w:szCs w:val="30"/>
        </w:rPr>
        <w:drawing>
          <wp:inline distT="0" distB="0" distL="114300" distR="114300">
            <wp:extent cx="1604645" cy="972820"/>
            <wp:effectExtent l="0" t="0" r="14605" b="17780"/>
            <wp:docPr id="5" name="图片 5" descr="重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重咨LOGO"/>
                    <pic:cNvPicPr>
                      <a:picLocks noChangeAspect="1"/>
                    </pic:cNvPicPr>
                  </pic:nvPicPr>
                  <pic:blipFill>
                    <a:blip r:embed="rId8"/>
                    <a:stretch>
                      <a:fillRect/>
                    </a:stretch>
                  </pic:blipFill>
                  <pic:spPr>
                    <a:xfrm>
                      <a:off x="0" y="0"/>
                      <a:ext cx="1604645" cy="972820"/>
                    </a:xfrm>
                    <a:prstGeom prst="rect">
                      <a:avLst/>
                    </a:prstGeom>
                  </pic:spPr>
                </pic:pic>
              </a:graphicData>
            </a:graphic>
          </wp:inline>
        </w:drawing>
      </w:r>
    </w:p>
    <w:p>
      <w:pPr>
        <w:spacing w:line="360" w:lineRule="auto"/>
        <w:ind w:firstLine="672" w:firstLineChars="224"/>
        <w:rPr>
          <w:rFonts w:ascii="宋体"/>
          <w:sz w:val="30"/>
          <w:szCs w:val="30"/>
        </w:rPr>
      </w:pPr>
    </w:p>
    <w:p>
      <w:pPr>
        <w:spacing w:line="360" w:lineRule="auto"/>
        <w:rPr>
          <w:rFonts w:ascii="宋体"/>
          <w:sz w:val="30"/>
          <w:szCs w:val="30"/>
        </w:rPr>
      </w:pPr>
    </w:p>
    <w:p>
      <w:pPr>
        <w:spacing w:line="360" w:lineRule="auto"/>
        <w:rPr>
          <w:rFonts w:ascii="宋体"/>
          <w:sz w:val="30"/>
          <w:szCs w:val="30"/>
        </w:rPr>
      </w:pPr>
    </w:p>
    <w:p>
      <w:pPr>
        <w:spacing w:line="360" w:lineRule="auto"/>
        <w:ind w:left="-359" w:leftChars="-171"/>
        <w:rPr>
          <w:rFonts w:ascii="宋体"/>
          <w:b/>
          <w:bCs/>
          <w:sz w:val="30"/>
          <w:szCs w:val="30"/>
        </w:rPr>
      </w:pPr>
    </w:p>
    <w:p>
      <w:pPr>
        <w:spacing w:line="360" w:lineRule="auto"/>
        <w:ind w:left="-359" w:leftChars="-171"/>
        <w:rPr>
          <w:rFonts w:ascii="宋体"/>
          <w:b/>
          <w:bCs/>
          <w:sz w:val="30"/>
          <w:szCs w:val="30"/>
        </w:rPr>
      </w:pPr>
    </w:p>
    <w:p>
      <w:pPr>
        <w:spacing w:line="360" w:lineRule="auto"/>
        <w:ind w:left="-359" w:leftChars="-171" w:firstLine="1678" w:firstLineChars="597"/>
        <w:rPr>
          <w:rFonts w:ascii="宋体" w:hAnsi="宋体" w:cs="宋体"/>
          <w:b/>
          <w:bCs/>
          <w:sz w:val="28"/>
          <w:szCs w:val="28"/>
          <w:u w:val="single"/>
        </w:rPr>
      </w:pPr>
      <w:r>
        <w:rPr>
          <w:rFonts w:hint="eastAsia" w:ascii="宋体" w:hAnsi="宋体" w:cs="宋体"/>
          <w:b/>
          <w:bCs/>
          <w:sz w:val="28"/>
          <w:szCs w:val="28"/>
        </w:rPr>
        <w:t>项 目 业 主：</w:t>
      </w:r>
      <w:r>
        <w:rPr>
          <w:rFonts w:hint="eastAsia" w:ascii="宋体" w:hAnsi="宋体" w:cs="宋体"/>
          <w:b/>
          <w:bCs/>
          <w:sz w:val="28"/>
          <w:szCs w:val="28"/>
          <w:u w:val="single"/>
        </w:rPr>
        <w:t>重庆国际投资咨询集团有限公司</w:t>
      </w:r>
    </w:p>
    <w:p>
      <w:pPr>
        <w:spacing w:line="360" w:lineRule="auto"/>
        <w:ind w:left="-359" w:leftChars="-171" w:firstLine="1678" w:firstLineChars="597"/>
        <w:rPr>
          <w:rFonts w:ascii="宋体"/>
          <w:b/>
          <w:bCs/>
          <w:sz w:val="28"/>
          <w:szCs w:val="28"/>
          <w:u w:val="single"/>
        </w:rPr>
      </w:pPr>
      <w:r>
        <w:rPr>
          <w:rFonts w:hint="eastAsia" w:ascii="宋体" w:hAnsi="宋体" w:cs="宋体"/>
          <w:b/>
          <w:bCs/>
          <w:sz w:val="28"/>
          <w:szCs w:val="28"/>
        </w:rPr>
        <w:t>代 理 机 构：</w:t>
      </w:r>
      <w:r>
        <w:rPr>
          <w:rFonts w:hint="eastAsia" w:ascii="宋体" w:hAnsi="宋体" w:cs="宋体"/>
          <w:b/>
          <w:bCs/>
          <w:sz w:val="28"/>
          <w:szCs w:val="28"/>
          <w:u w:val="single"/>
        </w:rPr>
        <w:t>重庆招标采购（集团）有限责任公司</w:t>
      </w:r>
    </w:p>
    <w:p>
      <w:pPr>
        <w:spacing w:line="360" w:lineRule="auto"/>
        <w:ind w:firstLine="716" w:firstLineChars="224"/>
        <w:jc w:val="center"/>
        <w:rPr>
          <w:rFonts w:ascii="宋体"/>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二</w:t>
      </w:r>
      <w:r>
        <w:rPr>
          <w:rFonts w:ascii="宋体" w:cs="宋体"/>
          <w:b/>
          <w:bCs/>
          <w:sz w:val="32"/>
          <w:szCs w:val="32"/>
        </w:rPr>
        <w:t>0</w:t>
      </w:r>
      <w:r>
        <w:rPr>
          <w:rFonts w:hint="eastAsia" w:ascii="宋体" w:hAnsi="宋体" w:cs="宋体"/>
          <w:b/>
          <w:bCs/>
          <w:sz w:val="32"/>
          <w:szCs w:val="32"/>
        </w:rPr>
        <w:t>二四年三月</w:t>
      </w:r>
      <w:r>
        <w:rPr>
          <w:rFonts w:ascii="宋体" w:hAnsi="宋体" w:cs="宋体"/>
          <w:b/>
          <w:bCs/>
          <w:sz w:val="32"/>
          <w:szCs w:val="32"/>
        </w:rPr>
        <w:br w:type="page"/>
      </w:r>
    </w:p>
    <w:p>
      <w:pPr>
        <w:spacing w:line="360" w:lineRule="auto"/>
        <w:outlineLvl w:val="0"/>
        <w:rPr>
          <w:rFonts w:ascii="宋体"/>
          <w:b/>
          <w:bCs/>
          <w:sz w:val="28"/>
          <w:szCs w:val="28"/>
        </w:rPr>
      </w:pPr>
    </w:p>
    <w:p>
      <w:pPr>
        <w:spacing w:line="360" w:lineRule="auto"/>
        <w:jc w:val="center"/>
      </w:pPr>
      <w:r>
        <w:rPr>
          <w:rFonts w:hint="eastAsia" w:ascii="宋体" w:hAnsi="宋体" w:cs="宋体"/>
          <w:b/>
          <w:bCs/>
        </w:rPr>
        <w:t>目      录</w:t>
      </w:r>
      <w:r>
        <w:fldChar w:fldCharType="begin"/>
      </w:r>
      <w:r>
        <w:instrText xml:space="preserve">TOC \o "1-2" \h \u </w:instrText>
      </w:r>
      <w:r>
        <w:fldChar w:fldCharType="separate"/>
      </w:r>
    </w:p>
    <w:p>
      <w:pPr>
        <w:pStyle w:val="39"/>
        <w:tabs>
          <w:tab w:val="right" w:leader="dot" w:pos="9600"/>
        </w:tabs>
        <w:spacing w:line="360" w:lineRule="auto"/>
        <w:rPr>
          <w:rFonts w:asciiTheme="minorHAnsi" w:hAnsiTheme="minorHAnsi" w:eastAsiaTheme="minorEastAsia" w:cstheme="minorBidi"/>
          <w:b/>
          <w:bCs/>
          <w:sz w:val="24"/>
          <w:szCs w:val="28"/>
        </w:rPr>
      </w:pPr>
      <w:r>
        <w:fldChar w:fldCharType="begin"/>
      </w:r>
      <w:r>
        <w:instrText xml:space="preserve"> HYPERLINK \l "_Toc120633463" </w:instrText>
      </w:r>
      <w:r>
        <w:fldChar w:fldCharType="separate"/>
      </w:r>
      <w:r>
        <w:rPr>
          <w:rStyle w:val="32"/>
          <w:rFonts w:ascii="宋体" w:hAnsi="宋体" w:cs="宋体"/>
          <w:b/>
          <w:bCs/>
          <w:sz w:val="24"/>
          <w:szCs w:val="24"/>
        </w:rPr>
        <w:t>第一部分  比选公告</w:t>
      </w:r>
      <w:r>
        <w:rPr>
          <w:b/>
          <w:bCs/>
          <w:sz w:val="24"/>
          <w:szCs w:val="24"/>
        </w:rPr>
        <w:tab/>
      </w:r>
      <w:r>
        <w:rPr>
          <w:b/>
          <w:bCs/>
          <w:sz w:val="24"/>
          <w:szCs w:val="24"/>
        </w:rPr>
        <w:fldChar w:fldCharType="begin"/>
      </w:r>
      <w:r>
        <w:rPr>
          <w:b/>
          <w:bCs/>
          <w:sz w:val="24"/>
          <w:szCs w:val="24"/>
        </w:rPr>
        <w:instrText xml:space="preserve"> PAGEREF _Toc120633463 \h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39"/>
        <w:tabs>
          <w:tab w:val="right" w:leader="dot" w:pos="9600"/>
        </w:tabs>
        <w:spacing w:line="360" w:lineRule="auto"/>
        <w:rPr>
          <w:rFonts w:asciiTheme="minorHAnsi" w:hAnsiTheme="minorHAnsi" w:eastAsiaTheme="minorEastAsia" w:cstheme="minorBidi"/>
          <w:b/>
          <w:bCs/>
          <w:sz w:val="24"/>
          <w:szCs w:val="28"/>
        </w:rPr>
      </w:pPr>
      <w:r>
        <w:fldChar w:fldCharType="begin"/>
      </w:r>
      <w:r>
        <w:instrText xml:space="preserve"> HYPERLINK \l "_Toc120633465" </w:instrText>
      </w:r>
      <w:r>
        <w:fldChar w:fldCharType="separate"/>
      </w:r>
      <w:r>
        <w:rPr>
          <w:rStyle w:val="32"/>
          <w:rFonts w:ascii="宋体" w:hAnsi="宋体" w:cs="宋体"/>
          <w:b/>
          <w:bCs/>
          <w:sz w:val="24"/>
          <w:szCs w:val="24"/>
        </w:rPr>
        <w:t>第二部分  比选须知</w:t>
      </w:r>
      <w:r>
        <w:rPr>
          <w:b/>
          <w:bCs/>
          <w:sz w:val="24"/>
          <w:szCs w:val="24"/>
        </w:rPr>
        <w:tab/>
      </w:r>
      <w:r>
        <w:rPr>
          <w:b/>
          <w:bCs/>
          <w:sz w:val="24"/>
          <w:szCs w:val="24"/>
        </w:rPr>
        <w:fldChar w:fldCharType="begin"/>
      </w:r>
      <w:r>
        <w:rPr>
          <w:b/>
          <w:bCs/>
          <w:sz w:val="24"/>
          <w:szCs w:val="24"/>
        </w:rPr>
        <w:instrText xml:space="preserve"> PAGEREF _Toc120633465 \h </w:instrText>
      </w:r>
      <w:r>
        <w:rPr>
          <w:b/>
          <w:bCs/>
          <w:sz w:val="24"/>
          <w:szCs w:val="24"/>
        </w:rPr>
        <w:fldChar w:fldCharType="separate"/>
      </w:r>
      <w:r>
        <w:rPr>
          <w:b/>
          <w:bCs/>
          <w:sz w:val="24"/>
          <w:szCs w:val="24"/>
        </w:rPr>
        <w:t>3</w:t>
      </w:r>
      <w:r>
        <w:rPr>
          <w:b/>
          <w:bCs/>
          <w:sz w:val="24"/>
          <w:szCs w:val="24"/>
        </w:rPr>
        <w:fldChar w:fldCharType="end"/>
      </w:r>
      <w:r>
        <w:rPr>
          <w:b/>
          <w:bCs/>
          <w:sz w:val="24"/>
          <w:szCs w:val="24"/>
        </w:rPr>
        <w:fldChar w:fldCharType="end"/>
      </w:r>
    </w:p>
    <w:p>
      <w:pPr>
        <w:pStyle w:val="39"/>
        <w:tabs>
          <w:tab w:val="right" w:leader="dot" w:pos="9600"/>
        </w:tabs>
        <w:spacing w:line="360" w:lineRule="auto"/>
        <w:rPr>
          <w:rFonts w:asciiTheme="minorHAnsi" w:hAnsiTheme="minorHAnsi" w:eastAsiaTheme="minorEastAsia" w:cstheme="minorBidi"/>
          <w:b/>
          <w:bCs/>
          <w:sz w:val="24"/>
          <w:szCs w:val="28"/>
        </w:rPr>
      </w:pPr>
      <w:r>
        <w:fldChar w:fldCharType="begin"/>
      </w:r>
      <w:r>
        <w:instrText xml:space="preserve"> HYPERLINK \l "_Toc120633479" </w:instrText>
      </w:r>
      <w:r>
        <w:fldChar w:fldCharType="separate"/>
      </w:r>
      <w:r>
        <w:rPr>
          <w:rStyle w:val="32"/>
          <w:rFonts w:ascii="宋体" w:hAnsi="宋体" w:cs="宋体"/>
          <w:b/>
          <w:bCs/>
          <w:sz w:val="24"/>
          <w:szCs w:val="24"/>
        </w:rPr>
        <w:t>第三部分  比选申请文件格式</w:t>
      </w:r>
      <w:r>
        <w:rPr>
          <w:b/>
          <w:bCs/>
          <w:sz w:val="24"/>
          <w:szCs w:val="24"/>
        </w:rPr>
        <w:tab/>
      </w:r>
      <w:r>
        <w:rPr>
          <w:b/>
          <w:bCs/>
          <w:sz w:val="24"/>
          <w:szCs w:val="24"/>
        </w:rPr>
        <w:fldChar w:fldCharType="begin"/>
      </w:r>
      <w:r>
        <w:rPr>
          <w:b/>
          <w:bCs/>
          <w:sz w:val="24"/>
          <w:szCs w:val="24"/>
        </w:rPr>
        <w:instrText xml:space="preserve"> PAGEREF _Toc120633479 \h </w:instrText>
      </w:r>
      <w:r>
        <w:rPr>
          <w:b/>
          <w:bCs/>
          <w:sz w:val="24"/>
          <w:szCs w:val="24"/>
        </w:rPr>
        <w:fldChar w:fldCharType="separate"/>
      </w:r>
      <w:r>
        <w:rPr>
          <w:b/>
          <w:bCs/>
          <w:sz w:val="24"/>
          <w:szCs w:val="24"/>
        </w:rPr>
        <w:t>7</w:t>
      </w:r>
      <w:r>
        <w:rPr>
          <w:b/>
          <w:bCs/>
          <w:sz w:val="24"/>
          <w:szCs w:val="24"/>
        </w:rPr>
        <w:fldChar w:fldCharType="end"/>
      </w:r>
      <w:r>
        <w:rPr>
          <w:b/>
          <w:bCs/>
          <w:sz w:val="24"/>
          <w:szCs w:val="24"/>
        </w:rPr>
        <w:fldChar w:fldCharType="end"/>
      </w:r>
    </w:p>
    <w:p>
      <w:pPr>
        <w:pStyle w:val="39"/>
        <w:tabs>
          <w:tab w:val="right" w:leader="dot" w:pos="9600"/>
        </w:tabs>
        <w:spacing w:line="360" w:lineRule="auto"/>
        <w:rPr>
          <w:rFonts w:asciiTheme="minorHAnsi" w:hAnsiTheme="minorHAnsi" w:eastAsiaTheme="minorEastAsia" w:cstheme="minorBidi"/>
          <w:b/>
          <w:bCs/>
          <w:sz w:val="24"/>
          <w:szCs w:val="28"/>
        </w:rPr>
      </w:pPr>
      <w:r>
        <w:fldChar w:fldCharType="begin"/>
      </w:r>
      <w:r>
        <w:instrText xml:space="preserve"> HYPERLINK \l "_Toc120633490" </w:instrText>
      </w:r>
      <w:r>
        <w:fldChar w:fldCharType="separate"/>
      </w:r>
      <w:r>
        <w:rPr>
          <w:rStyle w:val="32"/>
          <w:rFonts w:ascii="宋体" w:hAnsi="宋体" w:cs="宋体"/>
          <w:b/>
          <w:bCs/>
          <w:sz w:val="24"/>
          <w:szCs w:val="24"/>
        </w:rPr>
        <w:t xml:space="preserve">第四部分 </w:t>
      </w:r>
      <w:r>
        <w:rPr>
          <w:rStyle w:val="32"/>
          <w:rFonts w:hint="eastAsia" w:ascii="宋体" w:hAnsi="宋体" w:cs="宋体"/>
          <w:b/>
          <w:bCs/>
          <w:sz w:val="24"/>
          <w:szCs w:val="24"/>
        </w:rPr>
        <w:t xml:space="preserve"> </w:t>
      </w:r>
      <w:r>
        <w:rPr>
          <w:rStyle w:val="32"/>
          <w:rFonts w:ascii="宋体" w:hAnsi="宋体" w:cs="宋体"/>
          <w:b/>
          <w:bCs/>
          <w:sz w:val="24"/>
          <w:szCs w:val="24"/>
        </w:rPr>
        <w:t>合同条款</w:t>
      </w:r>
      <w:r>
        <w:rPr>
          <w:b/>
          <w:bCs/>
          <w:sz w:val="24"/>
          <w:szCs w:val="24"/>
        </w:rPr>
        <w:tab/>
      </w:r>
      <w:r>
        <w:rPr>
          <w:b/>
          <w:bCs/>
          <w:sz w:val="24"/>
          <w:szCs w:val="24"/>
        </w:rPr>
        <w:fldChar w:fldCharType="begin"/>
      </w:r>
      <w:r>
        <w:rPr>
          <w:b/>
          <w:bCs/>
          <w:sz w:val="24"/>
          <w:szCs w:val="24"/>
        </w:rPr>
        <w:instrText xml:space="preserve"> PAGEREF _Toc120633490 \h </w:instrText>
      </w:r>
      <w:r>
        <w:rPr>
          <w:b/>
          <w:bCs/>
          <w:sz w:val="24"/>
          <w:szCs w:val="24"/>
        </w:rPr>
        <w:fldChar w:fldCharType="separate"/>
      </w:r>
      <w:r>
        <w:rPr>
          <w:b/>
          <w:bCs/>
          <w:sz w:val="24"/>
          <w:szCs w:val="24"/>
        </w:rPr>
        <w:t>38</w:t>
      </w:r>
      <w:r>
        <w:rPr>
          <w:b/>
          <w:bCs/>
          <w:sz w:val="24"/>
          <w:szCs w:val="24"/>
        </w:rPr>
        <w:fldChar w:fldCharType="end"/>
      </w:r>
      <w:r>
        <w:rPr>
          <w:b/>
          <w:bCs/>
          <w:sz w:val="24"/>
          <w:szCs w:val="24"/>
        </w:rPr>
        <w:fldChar w:fldCharType="end"/>
      </w:r>
    </w:p>
    <w:p>
      <w:pPr>
        <w:pStyle w:val="53"/>
        <w:tabs>
          <w:tab w:val="right" w:leader="dot" w:pos="9610"/>
        </w:tabs>
        <w:spacing w:line="360" w:lineRule="auto"/>
      </w:pPr>
      <w:r>
        <w:fldChar w:fldCharType="end"/>
      </w: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sectPr>
          <w:footerReference r:id="rId3" w:type="default"/>
          <w:pgSz w:w="11906" w:h="16838"/>
          <w:pgMar w:top="1276" w:right="1162" w:bottom="1135" w:left="1134" w:header="851" w:footer="992" w:gutter="0"/>
          <w:pgNumType w:start="1"/>
          <w:cols w:space="720" w:num="1"/>
          <w:docGrid w:type="lines" w:linePitch="312" w:charSpace="0"/>
        </w:sectPr>
      </w:pPr>
    </w:p>
    <w:p>
      <w:pPr>
        <w:spacing w:line="360" w:lineRule="auto"/>
        <w:outlineLvl w:val="0"/>
        <w:rPr>
          <w:rFonts w:ascii="宋体"/>
          <w:b/>
          <w:bCs/>
          <w:sz w:val="28"/>
          <w:szCs w:val="28"/>
        </w:rPr>
      </w:pPr>
    </w:p>
    <w:p>
      <w:pPr>
        <w:numPr>
          <w:ilvl w:val="0"/>
          <w:numId w:val="1"/>
        </w:numPr>
        <w:spacing w:line="360" w:lineRule="auto"/>
        <w:jc w:val="center"/>
        <w:outlineLvl w:val="0"/>
        <w:rPr>
          <w:rFonts w:ascii="宋体"/>
          <w:b/>
          <w:bCs/>
          <w:sz w:val="28"/>
          <w:szCs w:val="28"/>
        </w:rPr>
      </w:pPr>
      <w:bookmarkStart w:id="0" w:name="_Toc120633463"/>
      <w:r>
        <w:rPr>
          <w:rFonts w:hint="eastAsia" w:ascii="宋体" w:hAnsi="宋体" w:cs="宋体"/>
          <w:b/>
          <w:bCs/>
          <w:sz w:val="28"/>
          <w:szCs w:val="28"/>
        </w:rPr>
        <w:t xml:space="preserve"> </w:t>
      </w:r>
    </w:p>
    <w:p>
      <w:pPr>
        <w:spacing w:line="360" w:lineRule="auto"/>
        <w:jc w:val="center"/>
        <w:outlineLvl w:val="0"/>
        <w:rPr>
          <w:rFonts w:ascii="宋体"/>
          <w:b/>
          <w:bCs/>
          <w:sz w:val="28"/>
          <w:szCs w:val="28"/>
        </w:rPr>
      </w:pPr>
      <w:r>
        <w:rPr>
          <w:rFonts w:hint="eastAsia" w:ascii="宋体" w:hAnsi="宋体" w:cs="宋体"/>
          <w:b/>
          <w:bCs/>
          <w:sz w:val="28"/>
          <w:szCs w:val="28"/>
        </w:rPr>
        <w:t>重咨集团网络与信息安全技术服务采购 比选公告</w:t>
      </w:r>
      <w:bookmarkEnd w:id="0"/>
    </w:p>
    <w:p>
      <w:pPr>
        <w:pStyle w:val="5"/>
        <w:spacing w:before="156" w:after="156" w:line="360" w:lineRule="auto"/>
        <w:ind w:firstLine="420" w:firstLineChars="200"/>
        <w:rPr>
          <w:rFonts w:ascii="宋体"/>
          <w:sz w:val="24"/>
          <w:szCs w:val="24"/>
          <w:u w:val="single"/>
        </w:rPr>
      </w:pPr>
      <w:bookmarkStart w:id="1" w:name="_Toc21929"/>
      <w:bookmarkStart w:id="2" w:name="_Toc120633464"/>
      <w:r>
        <w:rPr>
          <w:rFonts w:hint="eastAsia" w:ascii="宋体" w:hAnsi="宋体" w:cs="宋体"/>
          <w:b w:val="0"/>
          <w:sz w:val="21"/>
          <w:szCs w:val="21"/>
        </w:rPr>
        <w:t>为规范招标行为，本着公开、公平、公正的原则，我司拟对</w:t>
      </w:r>
      <w:r>
        <w:rPr>
          <w:rFonts w:hint="eastAsia" w:ascii="宋体" w:hAnsi="宋体" w:cs="宋体"/>
          <w:b w:val="0"/>
          <w:sz w:val="21"/>
          <w:szCs w:val="21"/>
          <w:u w:val="single"/>
        </w:rPr>
        <w:t>重咨集团网络与信息安全技术服务采购（项目名称）</w:t>
      </w:r>
      <w:r>
        <w:rPr>
          <w:rFonts w:hint="eastAsia" w:ascii="宋体" w:hAnsi="宋体" w:cs="宋体"/>
          <w:b w:val="0"/>
          <w:sz w:val="21"/>
          <w:szCs w:val="21"/>
        </w:rPr>
        <w:t>竞选，资金来源：</w:t>
      </w:r>
      <w:r>
        <w:rPr>
          <w:rFonts w:hint="eastAsia" w:ascii="宋体" w:hAnsi="宋体" w:cs="宋体"/>
          <w:b w:val="0"/>
          <w:sz w:val="21"/>
          <w:szCs w:val="21"/>
          <w:u w:val="single"/>
        </w:rPr>
        <w:t>企业自筹</w:t>
      </w:r>
      <w:r>
        <w:rPr>
          <w:rFonts w:hint="eastAsia" w:ascii="宋体" w:hAnsi="宋体" w:cs="宋体"/>
          <w:b w:val="0"/>
          <w:sz w:val="21"/>
          <w:szCs w:val="21"/>
        </w:rPr>
        <w:t>，资金落实情况：</w:t>
      </w:r>
      <w:r>
        <w:rPr>
          <w:rFonts w:hint="eastAsia" w:ascii="宋体" w:hAnsi="宋体" w:cs="宋体"/>
          <w:b w:val="0"/>
          <w:sz w:val="21"/>
          <w:szCs w:val="21"/>
          <w:u w:val="single"/>
        </w:rPr>
        <w:t>已落实</w:t>
      </w:r>
      <w:r>
        <w:rPr>
          <w:rFonts w:hint="eastAsia" w:ascii="宋体" w:hAnsi="宋体" w:cs="宋体"/>
          <w:b w:val="0"/>
          <w:sz w:val="21"/>
          <w:szCs w:val="21"/>
        </w:rPr>
        <w:t>，将采用</w:t>
      </w:r>
      <w:r>
        <w:rPr>
          <w:rFonts w:hint="eastAsia" w:ascii="宋体" w:hAnsi="宋体" w:cs="宋体"/>
          <w:b w:val="0"/>
          <w:sz w:val="21"/>
          <w:szCs w:val="21"/>
          <w:u w:val="single"/>
        </w:rPr>
        <w:t>竞争性比选（公开）</w:t>
      </w:r>
      <w:r>
        <w:rPr>
          <w:rFonts w:hint="eastAsia" w:ascii="宋体" w:hAnsi="宋体" w:cs="宋体"/>
          <w:b w:val="0"/>
          <w:sz w:val="21"/>
          <w:szCs w:val="21"/>
        </w:rPr>
        <w:t>的方式择优选定服务单位。特邀请有兴趣且符合条件的潜在比选申请人参与竞选。</w:t>
      </w:r>
      <w:bookmarkEnd w:id="1"/>
      <w:bookmarkEnd w:id="2"/>
    </w:p>
    <w:p>
      <w:pPr>
        <w:tabs>
          <w:tab w:val="left" w:pos="1800"/>
        </w:tabs>
        <w:spacing w:line="360" w:lineRule="auto"/>
        <w:ind w:right="-874" w:rightChars="-416" w:firstLine="420" w:firstLineChars="200"/>
        <w:rPr>
          <w:rFonts w:ascii="宋体" w:hAnsi="宋体" w:cs="宋体"/>
        </w:rPr>
      </w:pPr>
      <w:r>
        <w:rPr>
          <w:rFonts w:hint="eastAsia" w:ascii="宋体" w:hAnsi="宋体" w:cs="宋体"/>
        </w:rPr>
        <w:t>1、项目名称：</w:t>
      </w:r>
      <w:r>
        <w:rPr>
          <w:rFonts w:hint="eastAsia" w:ascii="宋体" w:hAnsi="宋体" w:cs="宋体"/>
          <w:u w:val="single"/>
        </w:rPr>
        <w:t>重咨集团网络与信息安全技术服务采购</w:t>
      </w:r>
    </w:p>
    <w:p>
      <w:pPr>
        <w:tabs>
          <w:tab w:val="left" w:pos="1800"/>
        </w:tabs>
        <w:spacing w:line="360" w:lineRule="auto"/>
        <w:ind w:right="-874" w:rightChars="-416" w:firstLine="420" w:firstLineChars="200"/>
        <w:rPr>
          <w:rFonts w:ascii="宋体"/>
        </w:rPr>
      </w:pPr>
      <w:r>
        <w:rPr>
          <w:rFonts w:ascii="宋体" w:hAnsi="宋体" w:cs="宋体"/>
        </w:rPr>
        <w:t>2</w:t>
      </w:r>
      <w:r>
        <w:rPr>
          <w:rFonts w:hint="eastAsia" w:ascii="宋体" w:hAnsi="宋体" w:cs="宋体"/>
        </w:rPr>
        <w:t>、项目地址：</w:t>
      </w:r>
      <w:r>
        <w:rPr>
          <w:rFonts w:hint="eastAsia" w:ascii="宋体" w:hAnsi="宋体" w:cs="宋体"/>
          <w:u w:val="single"/>
        </w:rPr>
        <w:t xml:space="preserve">重庆市江北区五简路二号 </w:t>
      </w:r>
    </w:p>
    <w:p>
      <w:pPr>
        <w:adjustRightInd w:val="0"/>
        <w:snapToGrid w:val="0"/>
        <w:spacing w:line="360" w:lineRule="auto"/>
        <w:ind w:firstLine="420" w:firstLineChars="200"/>
        <w:rPr>
          <w:rFonts w:ascii="宋体" w:hAnsi="宋体" w:cs="宋体"/>
        </w:rPr>
      </w:pPr>
      <w:r>
        <w:rPr>
          <w:rFonts w:ascii="宋体" w:hAnsi="宋体" w:cs="宋体"/>
        </w:rPr>
        <w:t>3</w:t>
      </w:r>
      <w:r>
        <w:rPr>
          <w:rFonts w:hint="eastAsia" w:ascii="宋体" w:hAnsi="宋体" w:cs="宋体"/>
        </w:rPr>
        <w:t>、项目概况：</w:t>
      </w:r>
    </w:p>
    <w:p>
      <w:pPr>
        <w:adjustRightInd w:val="0"/>
        <w:snapToGrid w:val="0"/>
        <w:spacing w:line="360" w:lineRule="auto"/>
        <w:ind w:firstLine="420" w:firstLineChars="200"/>
        <w:rPr>
          <w:rFonts w:ascii="宋体" w:hAnsi="宋体" w:cs="宋体"/>
        </w:rPr>
      </w:pPr>
      <w:r>
        <w:rPr>
          <w:rFonts w:hint="eastAsia" w:ascii="宋体" w:hAnsi="宋体" w:cs="宋体"/>
        </w:rPr>
        <w:t>3.1、比选范围及内容：</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11"/>
        <w:gridCol w:w="641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序号</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项目名称</w:t>
            </w:r>
          </w:p>
        </w:tc>
        <w:tc>
          <w:tcPr>
            <w:tcW w:w="32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服务内容</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数量/期限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安全基础梳理和摸底★</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1、主要以管理和技术的手段，通过调研、上机查验等方式，摸清集团在管理制度和安全防护方面的现状、问题，并进行一次漏洞问题排查。</w:t>
            </w:r>
          </w:p>
          <w:p>
            <w:pPr>
              <w:adjustRightInd w:val="0"/>
              <w:snapToGrid w:val="0"/>
              <w:spacing w:before="187" w:after="187" w:line="400" w:lineRule="exact"/>
              <w:jc w:val="left"/>
              <w:rPr>
                <w:rFonts w:ascii="宋体" w:hAnsi="宋体" w:cs="宋体"/>
              </w:rPr>
            </w:pPr>
            <w:r>
              <w:rPr>
                <w:rFonts w:hint="eastAsia" w:ascii="宋体" w:hAnsi="宋体" w:cs="宋体"/>
              </w:rPr>
              <w:t>2、出具《重咨集团网络信息和数据安全管理制度清单》《重咨集团制度运行问题及差距清单》；《重咨集团信息化资产清单》《重咨集团应用系统清单》《重咨集团安全防护策略问题清单》；《漏洞扫描报告》、《基线核查报告》、《渗透测试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网络与信息安全风险评估★</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1、根据《中国人民共和国网络安全法》、等级保护制度要求，以及《信息安全技术 信息安全风险评估方法》（GB/T 20984-2022）等评估标准，对重咨集团进行包括物理安全、人员安全、管理安全、建设安全、运维安全、应用安全等的综合性安全风险评估，以识别集团自身在网络与信息安全管理、建设、运维、运营过程中的脆弱性及面临的风险，对风险进行定级并提出风险处理建议，协助重咨集团建立整改流程、跟踪机制，清晰掌握系统安全整改进度、效果、总体情况。</w:t>
            </w:r>
          </w:p>
          <w:p>
            <w:pPr>
              <w:adjustRightInd w:val="0"/>
              <w:snapToGrid w:val="0"/>
              <w:spacing w:before="187" w:after="187" w:line="400" w:lineRule="exact"/>
              <w:jc w:val="left"/>
              <w:rPr>
                <w:rFonts w:ascii="宋体" w:hAnsi="宋体" w:cs="宋体"/>
              </w:rPr>
            </w:pPr>
            <w:r>
              <w:rPr>
                <w:rFonts w:hint="eastAsia" w:ascii="宋体" w:hAnsi="宋体" w:cs="宋体"/>
              </w:rPr>
              <w:t>2、输出《重咨集团网络与信息安全风险评估问题单》、《重咨集团网络与信息安全风险评估报告》。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3</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数据安全风险评估★</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根据《中华人民共和国数据安全法》、《重庆市数据条例》等法律法规和文件要求，对重咨集团本部的数据资产梳理以及重要信息系统进行数据安全风险评估，协助集团对数据资产分类分级管理、全生命周期安全防护等方面的完善，包括但不限于数据安全管理制度完善、数据资产梳理、数据分类分级、数据处理活动分析、数据全生命周期安全性防护分析。</w:t>
            </w:r>
          </w:p>
          <w:p>
            <w:pPr>
              <w:adjustRightInd w:val="0"/>
              <w:snapToGrid w:val="0"/>
              <w:spacing w:before="187" w:after="187" w:line="400" w:lineRule="exact"/>
              <w:jc w:val="left"/>
              <w:rPr>
                <w:rFonts w:ascii="宋体" w:hAnsi="宋体" w:cs="宋体"/>
              </w:rPr>
            </w:pPr>
            <w:r>
              <w:rPr>
                <w:rFonts w:hint="eastAsia" w:ascii="宋体" w:hAnsi="宋体" w:cs="宋体"/>
              </w:rPr>
              <w:t>2、输出《重咨集团数据资产清单及分类分级目录》、《重咨集团xx系统数据安全风险评估报告》。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4</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安全加固★</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对在安全评估梳理、定期扫描、渗透测试、等保测评、安全检查中发现的漏洞进行安全加固，指导管理员，协助系统建设单位完成加固，并对加固完成情况进行验证把关。输出《重咨集团安全加固报告》。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ascii="宋体" w:hAnsi="宋体" w:cs="宋体"/>
              </w:rPr>
              <w:t>5</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定期扫描服务★</w:t>
            </w:r>
          </w:p>
        </w:tc>
        <w:tc>
          <w:tcPr>
            <w:tcW w:w="3264" w:type="pct"/>
            <w:vAlign w:val="center"/>
          </w:tcPr>
          <w:p>
            <w:pPr>
              <w:adjustRightInd w:val="0"/>
              <w:snapToGrid w:val="0"/>
              <w:spacing w:before="187" w:after="187" w:line="400" w:lineRule="exact"/>
              <w:jc w:val="left"/>
              <w:rPr>
                <w:rFonts w:ascii="宋体" w:hAnsi="宋体" w:cs="宋体"/>
              </w:rPr>
            </w:pPr>
            <w:r>
              <w:rPr>
                <w:rFonts w:ascii="宋体" w:hAnsi="宋体" w:cs="宋体"/>
              </w:rPr>
              <w:t>1</w:t>
            </w:r>
            <w:r>
              <w:rPr>
                <w:rFonts w:hint="eastAsia" w:ascii="宋体" w:hAnsi="宋体" w:cs="宋体"/>
              </w:rPr>
              <w:t>、对重咨集团基础网络单元、安全设备和主要信息系统，每月进行安全扫描。针对发现的安全问题提供整改建议，出具《重咨集团网络安全漏扫报告》。</w:t>
            </w:r>
          </w:p>
          <w:p>
            <w:pPr>
              <w:adjustRightInd w:val="0"/>
              <w:snapToGrid w:val="0"/>
              <w:spacing w:before="187" w:after="187" w:line="400" w:lineRule="exact"/>
              <w:jc w:val="left"/>
              <w:rPr>
                <w:rFonts w:ascii="宋体" w:hAnsi="宋体" w:cs="宋体"/>
              </w:rPr>
            </w:pPr>
            <w:r>
              <w:rPr>
                <w:rFonts w:ascii="宋体" w:hAnsi="宋体" w:cs="宋体"/>
              </w:rPr>
              <w:t>2</w:t>
            </w:r>
            <w:r>
              <w:rPr>
                <w:rFonts w:hint="eastAsia" w:ascii="宋体" w:hAnsi="宋体" w:cs="宋体"/>
              </w:rPr>
              <w:t>、针对扫描发现的安全隐患，协助重咨集团建立整改跟踪机制，规范整改行为，协助整改安全隐患，让集团能清晰掌握系统安全整改进度、效果、总体情况，按季度输出漏扫分析报告《重咨集团XX季度漏洞扫描分析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1次/月，共12次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ascii="宋体" w:hAnsi="宋体" w:cs="宋体"/>
              </w:rPr>
              <w:t>6</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定期渗透服务★</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1、按约定周期开展渗透测试服务，对重咨集团重要信息系统，定期进行安全渗透测试。针对发现的安全问题提供整改建议，出具《重咨集团xx系统渗透测试报告》。</w:t>
            </w:r>
          </w:p>
          <w:p>
            <w:pPr>
              <w:adjustRightInd w:val="0"/>
              <w:snapToGrid w:val="0"/>
              <w:spacing w:before="187" w:after="187" w:line="400" w:lineRule="exact"/>
              <w:jc w:val="left"/>
              <w:rPr>
                <w:rFonts w:ascii="宋体" w:hAnsi="宋体" w:cs="宋体"/>
              </w:rPr>
            </w:pPr>
            <w:r>
              <w:rPr>
                <w:rFonts w:hint="eastAsia" w:ascii="宋体" w:hAnsi="宋体" w:cs="宋体"/>
              </w:rPr>
              <w:t>2、针对渗透发现的安全隐患，协助重咨集团建立整改跟踪机制，规范整改行为，协助整改安全隐患，让重咨集团能清晰掌握系统安全整改进度、效果、总体情况。服务完输出渗透分析报告《重咨集团渗透测试分析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1次/季度，共4次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7</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安全策略优化★</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对重要的网络安全设备进行策略核查，根据应用系统的环境对策略进行优化调整，输出《重咨集团策略优化报告》。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8</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安全监控服务★</w:t>
            </w:r>
          </w:p>
        </w:tc>
        <w:tc>
          <w:tcPr>
            <w:tcW w:w="3264" w:type="pct"/>
            <w:vAlign w:val="center"/>
          </w:tcPr>
          <w:p>
            <w:pPr>
              <w:adjustRightInd w:val="0"/>
              <w:snapToGrid w:val="0"/>
              <w:spacing w:before="187" w:after="187" w:line="400" w:lineRule="exact"/>
              <w:jc w:val="left"/>
              <w:rPr>
                <w:rFonts w:ascii="宋体" w:hAnsi="宋体" w:cs="宋体"/>
              </w:rPr>
            </w:pPr>
            <w:r>
              <w:rPr>
                <w:rFonts w:ascii="宋体" w:hAnsi="宋体" w:cs="宋体"/>
              </w:rPr>
              <w:t>1</w:t>
            </w:r>
            <w:r>
              <w:rPr>
                <w:rFonts w:hint="eastAsia" w:ascii="宋体" w:hAnsi="宋体" w:cs="宋体"/>
              </w:rPr>
              <w:t>、1年365天7×24小时，至少每隔30分钟一次对重咨集团网站群的网站以及咨采平台网站页面进行安全性、可用性持续监控；有效反馈被监控系统的安全状态，及时发现系统被篡改、被植入恶意代码等、网络故障、服务宕机等安全事件；通过电话实时进行安全事件告警。</w:t>
            </w:r>
          </w:p>
          <w:p>
            <w:pPr>
              <w:adjustRightInd w:val="0"/>
              <w:snapToGrid w:val="0"/>
              <w:spacing w:before="187" w:after="187" w:line="400" w:lineRule="exact"/>
              <w:jc w:val="left"/>
              <w:rPr>
                <w:rFonts w:ascii="宋体" w:hAnsi="宋体" w:cs="宋体"/>
              </w:rPr>
            </w:pPr>
            <w:r>
              <w:rPr>
                <w:rFonts w:hint="eastAsia" w:ascii="宋体" w:hAnsi="宋体" w:cs="宋体"/>
              </w:rPr>
              <w:t>2、每半年输出一次监测分析报告《重咨集团网站安全监测分析报告》。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9</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安全培训★</w:t>
            </w:r>
          </w:p>
        </w:tc>
        <w:tc>
          <w:tcPr>
            <w:tcW w:w="3264" w:type="pct"/>
            <w:vAlign w:val="center"/>
          </w:tcPr>
          <w:p>
            <w:pPr>
              <w:adjustRightInd w:val="0"/>
              <w:snapToGrid w:val="0"/>
              <w:spacing w:before="187" w:after="187" w:line="400" w:lineRule="exact"/>
              <w:jc w:val="left"/>
              <w:rPr>
                <w:rFonts w:ascii="宋体" w:hAnsi="宋体" w:cs="宋体"/>
              </w:rPr>
            </w:pPr>
            <w:r>
              <w:rPr>
                <w:rFonts w:ascii="宋体" w:hAnsi="宋体" w:cs="宋体"/>
              </w:rPr>
              <w:t>1</w:t>
            </w:r>
            <w:r>
              <w:rPr>
                <w:rFonts w:hint="eastAsia" w:ascii="宋体" w:hAnsi="宋体" w:cs="宋体"/>
              </w:rPr>
              <w:t>、在服务有效期内提供不少于两次安全培训，并提供培训课件。</w:t>
            </w:r>
          </w:p>
          <w:p>
            <w:pPr>
              <w:adjustRightInd w:val="0"/>
              <w:snapToGrid w:val="0"/>
              <w:spacing w:before="187" w:after="187" w:line="400" w:lineRule="exact"/>
              <w:jc w:val="left"/>
              <w:rPr>
                <w:rFonts w:ascii="宋体" w:hAnsi="宋体" w:cs="宋体"/>
              </w:rPr>
            </w:pPr>
            <w:r>
              <w:rPr>
                <w:rFonts w:hint="eastAsia" w:ascii="宋体" w:hAnsi="宋体" w:cs="宋体"/>
              </w:rPr>
              <w:t>2、针对重咨集团全体员工进行网络安全意识培训，提升集团全员网络与信息安全防范意识，不少于4学时。</w:t>
            </w:r>
          </w:p>
          <w:p>
            <w:pPr>
              <w:adjustRightInd w:val="0"/>
              <w:snapToGrid w:val="0"/>
              <w:spacing w:before="187" w:after="187" w:line="400" w:lineRule="exact"/>
              <w:jc w:val="left"/>
              <w:rPr>
                <w:rFonts w:ascii="宋体" w:hAnsi="宋体" w:cs="宋体"/>
              </w:rPr>
            </w:pPr>
            <w:r>
              <w:rPr>
                <w:rFonts w:ascii="宋体" w:hAnsi="宋体" w:cs="宋体"/>
              </w:rPr>
              <w:t>3</w:t>
            </w:r>
            <w:r>
              <w:rPr>
                <w:rFonts w:hint="eastAsia" w:ascii="宋体" w:hAnsi="宋体" w:cs="宋体"/>
              </w:rPr>
              <w:t>、针对重咨集团的技术人员开展进行网络安全涉及的法律法规、政策规定、网络安全防护基础，安全事件处置、安全基线达标、漏洞扫描及渗透测试等方面的培训。培训后运维人员能够掌握基本信息安全知识和工具使用方法，提升运维人员的安全技能，不少于8学时。</w:t>
            </w:r>
          </w:p>
          <w:p>
            <w:pPr>
              <w:adjustRightInd w:val="0"/>
              <w:snapToGrid w:val="0"/>
              <w:spacing w:before="187" w:after="187" w:line="400" w:lineRule="exact"/>
              <w:jc w:val="left"/>
              <w:rPr>
                <w:rFonts w:ascii="宋体" w:hAnsi="宋体" w:cs="宋体"/>
              </w:rPr>
            </w:pPr>
            <w:r>
              <w:rPr>
                <w:rFonts w:hint="eastAsia" w:ascii="宋体" w:hAnsi="宋体" w:cs="宋体"/>
              </w:rPr>
              <w:t>4、输出《重咨集团安全培训课件》、《安全培训记录》、《安全培训考查记录》。</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ascii="宋体" w:hAnsi="宋体" w:cs="宋体"/>
              </w:rPr>
              <w:t>0</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应急预案及演练★</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1、协助完善重咨集团的安全应急预案。</w:t>
            </w:r>
          </w:p>
          <w:p>
            <w:pPr>
              <w:adjustRightInd w:val="0"/>
              <w:snapToGrid w:val="0"/>
              <w:spacing w:before="187" w:after="187" w:line="400" w:lineRule="exact"/>
              <w:jc w:val="left"/>
              <w:rPr>
                <w:rFonts w:ascii="宋体" w:hAnsi="宋体" w:cs="宋体"/>
              </w:rPr>
            </w:pPr>
            <w:r>
              <w:rPr>
                <w:rFonts w:hint="eastAsia" w:ascii="宋体" w:hAnsi="宋体" w:cs="宋体"/>
              </w:rPr>
              <w:t>2、</w:t>
            </w:r>
            <w:r>
              <w:rPr>
                <w:rFonts w:hint="eastAsia" w:ascii="宋体" w:hAnsi="宋体" w:cs="宋体"/>
                <w:lang w:eastAsia="zh-Hans"/>
              </w:rPr>
              <w:t>根据</w:t>
            </w:r>
            <w:r>
              <w:rPr>
                <w:rFonts w:hint="eastAsia" w:ascii="宋体" w:hAnsi="宋体" w:cs="宋体"/>
              </w:rPr>
              <w:t>重咨</w:t>
            </w:r>
            <w:r>
              <w:rPr>
                <w:rFonts w:hint="eastAsia" w:ascii="宋体" w:hAnsi="宋体" w:cs="宋体"/>
                <w:lang w:eastAsia="zh-Hans"/>
              </w:rPr>
              <w:t>集团要求，制定演练计划，编写网络安全应急演练方案，搭建演练环境，安排技术人员到集团</w:t>
            </w:r>
            <w:r>
              <w:rPr>
                <w:rFonts w:hint="eastAsia" w:ascii="宋体" w:hAnsi="宋体" w:cs="宋体"/>
              </w:rPr>
              <w:t>开展现场应急演练，对应急演练存在的不足提出优化建议，协助</w:t>
            </w:r>
            <w:r>
              <w:rPr>
                <w:rFonts w:hint="eastAsia" w:ascii="宋体" w:hAnsi="宋体" w:cs="宋体"/>
                <w:lang w:eastAsia="zh-Hans"/>
              </w:rPr>
              <w:t>集团</w:t>
            </w:r>
            <w:r>
              <w:rPr>
                <w:rFonts w:hint="eastAsia" w:ascii="宋体" w:hAnsi="宋体" w:cs="宋体"/>
              </w:rPr>
              <w:t>提升应对突发网络安全事件的监控能力和处置能力。</w:t>
            </w:r>
          </w:p>
          <w:p>
            <w:pPr>
              <w:adjustRightInd w:val="0"/>
              <w:snapToGrid w:val="0"/>
              <w:spacing w:before="187" w:after="187" w:line="400" w:lineRule="exact"/>
              <w:jc w:val="left"/>
              <w:rPr>
                <w:rFonts w:ascii="宋体" w:hAnsi="宋体" w:cs="宋体"/>
              </w:rPr>
            </w:pPr>
            <w:r>
              <w:rPr>
                <w:rFonts w:ascii="宋体" w:hAnsi="宋体" w:cs="宋体"/>
              </w:rPr>
              <w:t>3</w:t>
            </w:r>
            <w:r>
              <w:rPr>
                <w:rFonts w:hint="eastAsia" w:ascii="宋体" w:hAnsi="宋体" w:cs="宋体"/>
              </w:rPr>
              <w:t>、输出《重咨集团网络与信息安全应急预案》、《重咨集团网络信息与数据安全总体应急预案框架》、《重咨集团XXX事件应急演练方案》、《重咨集团应急演练总结》。</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hint="eastAsia" w:ascii="宋体" w:hAnsi="宋体" w:cs="宋体"/>
                <w:lang w:eastAsia="zh-Hans"/>
              </w:rPr>
              <w:t>次</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ascii="宋体" w:hAnsi="宋体" w:cs="宋体"/>
              </w:rPr>
              <w:t>1</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应急响应★</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针对外部黑客入侵、数据泄露、木马病毒等突发安全事件时，进行应急响应处理，避免事态恶化。遇到遭遇攻击或网页被篡改等恶性事件，要求1小时内到达现场，实施有效的紧急救援及恢复补救方案。应急响应服务工作完成后，针对此次事件的问题现象、发生原因以及处理过程，预防措施与建议进行总结报告。出具《重咨集团网络安全应急响应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不限次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ascii="宋体" w:hAnsi="宋体" w:cs="宋体"/>
              </w:rPr>
              <w:t>2</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安全检查服务★</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在接受网络安全主管部门检查或上级部门开展网络安全检查期间的自查、差距分析、整改及陪同检查服务、相关工作配合服务。</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不限次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ascii="宋体" w:hAnsi="宋体" w:cs="宋体"/>
              </w:rPr>
              <w:t>13</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网络与信息安全专业人员驻场服务★</w:t>
            </w:r>
          </w:p>
        </w:tc>
        <w:tc>
          <w:tcPr>
            <w:tcW w:w="3264" w:type="pct"/>
            <w:vAlign w:val="center"/>
          </w:tcPr>
          <w:p>
            <w:pPr>
              <w:adjustRightInd w:val="0"/>
              <w:snapToGrid w:val="0"/>
              <w:spacing w:before="187" w:after="187" w:line="400" w:lineRule="exact"/>
              <w:jc w:val="left"/>
            </w:pPr>
            <w:r>
              <w:rPr>
                <w:rFonts w:hint="eastAsia" w:ascii="宋体" w:hAnsi="宋体" w:cs="宋体"/>
              </w:rPr>
              <w:t>派遣</w:t>
            </w:r>
            <w:r>
              <w:rPr>
                <w:rFonts w:ascii="宋体" w:hAnsi="宋体" w:cs="宋体"/>
              </w:rPr>
              <w:t>1</w:t>
            </w:r>
            <w:r>
              <w:rPr>
                <w:rFonts w:hint="eastAsia" w:ascii="宋体" w:hAnsi="宋体" w:cs="宋体"/>
              </w:rPr>
              <w:t>位具有多年网络与信息安全行业工作经历的</w:t>
            </w:r>
            <w:r>
              <w:rPr>
                <w:rFonts w:hint="eastAsia"/>
              </w:rPr>
              <w:t>安全服务工程师</w:t>
            </w:r>
            <w:r>
              <w:rPr>
                <w:rFonts w:hint="eastAsia" w:ascii="宋体" w:hAnsi="宋体" w:cs="宋体"/>
              </w:rPr>
              <w:t>驻场服务，协助重咨集团开展网络安全、数据安全等相关工作。驻场服务人员需全日制本科及以上学历，安全或计算机相关专业，相关行业工作一年以上，具有网络信息安全相关证书（</w:t>
            </w:r>
            <w:r>
              <w:rPr>
                <w:rFonts w:ascii="宋体" w:hAnsi="宋体" w:cs="宋体"/>
              </w:rPr>
              <w:t>CISP</w:t>
            </w:r>
            <w:r>
              <w:rPr>
                <w:rFonts w:hint="eastAsia" w:ascii="宋体" w:hAnsi="宋体" w:cs="宋体"/>
              </w:rPr>
              <w:t>或</w:t>
            </w:r>
            <w:r>
              <w:rPr>
                <w:rFonts w:ascii="宋体" w:hAnsi="宋体" w:cs="宋体"/>
              </w:rPr>
              <w:t>CISAW</w:t>
            </w:r>
            <w:r>
              <w:rPr>
                <w:rFonts w:hint="eastAsia" w:ascii="宋体" w:hAnsi="宋体" w:cs="宋体"/>
              </w:rPr>
              <w:t>或</w:t>
            </w:r>
            <w:r>
              <w:rPr>
                <w:rFonts w:ascii="宋体" w:hAnsi="宋体" w:cs="宋体"/>
              </w:rPr>
              <w:t>CISSP</w:t>
            </w:r>
            <w:r>
              <w:rPr>
                <w:rFonts w:hint="eastAsia" w:ascii="宋体" w:hAnsi="宋体" w:cs="宋体"/>
              </w:rPr>
              <w:t>），具有相关工作能力。</w:t>
            </w:r>
            <w:r>
              <w:rPr>
                <w:rFonts w:hint="eastAsia"/>
              </w:rPr>
              <w:t>能对集团现有网信数安和商用密码安全性等相关管理制度文件进行修订、完善，并建立一套合规、全面并且符合集团组织机构的安全管理制度体系文件。能结合集团现有业务系统、网络架构、网络和安全策略以及日志进行分析和评估，能找出安全薄弱点，提出符合重咨集团安全需求的网络策略优化建议，并推进网络设备厂商或运维方优化实施。驻场人员工作时间按采购人正常上班时间执行，如遇特殊重大保障，按采购人安排开展工作。根据采购人安排完成相关工作。</w:t>
            </w:r>
            <w:r>
              <w:rPr>
                <w:rFonts w:hint="eastAsia" w:ascii="宋体" w:hAnsi="宋体" w:cs="宋体"/>
              </w:rPr>
              <w:t>在服务期内未经采购人同意，驻场人员不得从事与采购人要求的服务内容无关的其他工作或比选申请人随意更换驻场人员。</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1人/年</w:t>
            </w:r>
          </w:p>
        </w:tc>
      </w:tr>
    </w:tbl>
    <w:p>
      <w:pPr>
        <w:adjustRightInd w:val="0"/>
        <w:snapToGrid w:val="0"/>
        <w:spacing w:line="360" w:lineRule="auto"/>
        <w:ind w:firstLine="420" w:firstLineChars="200"/>
        <w:rPr>
          <w:rFonts w:ascii="宋体" w:hAnsi="宋体" w:cs="宋体"/>
        </w:rPr>
      </w:pPr>
    </w:p>
    <w:p>
      <w:pPr>
        <w:adjustRightInd w:val="0"/>
        <w:snapToGrid w:val="0"/>
        <w:spacing w:line="360" w:lineRule="auto"/>
        <w:ind w:firstLine="420" w:firstLineChars="200"/>
        <w:rPr>
          <w:rFonts w:ascii="宋体" w:hAnsi="宋体" w:cs="宋体"/>
        </w:rPr>
      </w:pPr>
      <w:r>
        <w:rPr>
          <w:rFonts w:hint="eastAsia" w:ascii="宋体" w:hAnsi="宋体" w:cs="宋体"/>
        </w:rPr>
        <w:t>3.2、合同估算金额：约</w:t>
      </w:r>
      <w:r>
        <w:rPr>
          <w:rFonts w:hint="eastAsia" w:ascii="宋体" w:hAnsi="宋体" w:cs="宋体"/>
          <w:u w:val="single"/>
        </w:rPr>
        <w:t>50</w:t>
      </w:r>
      <w:r>
        <w:rPr>
          <w:rFonts w:hint="eastAsia" w:ascii="宋体" w:hAnsi="宋体" w:cs="宋体"/>
        </w:rPr>
        <w:t>万元。</w:t>
      </w:r>
    </w:p>
    <w:p>
      <w:pPr>
        <w:spacing w:line="360" w:lineRule="auto"/>
        <w:ind w:firstLine="420" w:firstLineChars="200"/>
      </w:pPr>
      <w:r>
        <w:rPr>
          <w:rFonts w:ascii="宋体" w:hAnsi="宋体" w:cs="宋体"/>
        </w:rPr>
        <w:t>4</w:t>
      </w:r>
      <w:r>
        <w:rPr>
          <w:rFonts w:hint="eastAsia" w:ascii="宋体" w:hAnsi="宋体" w:cs="宋体"/>
        </w:rPr>
        <w:t>、服务期：1年。</w:t>
      </w:r>
    </w:p>
    <w:p>
      <w:pPr>
        <w:spacing w:line="360" w:lineRule="auto"/>
        <w:ind w:firstLine="420" w:firstLineChars="200"/>
        <w:rPr>
          <w:rFonts w:ascii="宋体"/>
        </w:rPr>
      </w:pPr>
      <w:r>
        <w:rPr>
          <w:rFonts w:hint="eastAsia" w:ascii="宋体" w:hAnsi="宋体" w:cs="宋体"/>
        </w:rPr>
        <w:t>5、比选申请人资格条件要求：</w:t>
      </w:r>
    </w:p>
    <w:p>
      <w:pPr>
        <w:spacing w:line="360" w:lineRule="auto"/>
        <w:ind w:firstLine="420" w:firstLineChars="200"/>
        <w:rPr>
          <w:rFonts w:ascii="宋体" w:hAnsi="宋体" w:cs="宋体"/>
        </w:rPr>
      </w:pPr>
      <w:r>
        <w:rPr>
          <w:rFonts w:hint="eastAsia" w:ascii="宋体" w:hAnsi="宋体" w:cs="宋体"/>
        </w:rPr>
        <w:t>5.1．具有有效的营业执照或法人证书；</w:t>
      </w:r>
    </w:p>
    <w:p>
      <w:pPr>
        <w:spacing w:line="360" w:lineRule="auto"/>
        <w:ind w:firstLine="420" w:firstLineChars="200"/>
        <w:rPr>
          <w:rFonts w:ascii="宋体" w:hAnsi="宋体" w:cs="宋体"/>
        </w:rPr>
      </w:pPr>
      <w:r>
        <w:rPr>
          <w:rFonts w:hint="eastAsia" w:ascii="宋体" w:hAnsi="宋体" w:cs="宋体"/>
        </w:rPr>
        <w:t>5.2．具有良好的商业信誉和健全的财务会计制度；</w:t>
      </w:r>
    </w:p>
    <w:p>
      <w:pPr>
        <w:spacing w:line="360" w:lineRule="auto"/>
        <w:ind w:firstLine="420" w:firstLineChars="200"/>
        <w:rPr>
          <w:rFonts w:ascii="宋体" w:hAnsi="宋体" w:cs="宋体"/>
        </w:rPr>
      </w:pPr>
      <w:r>
        <w:rPr>
          <w:rFonts w:hint="eastAsia" w:ascii="宋体" w:hAnsi="宋体" w:cs="宋体"/>
        </w:rPr>
        <w:t>5.3．具备履行合同所必需的设备或工具（包括但不限于漏洞扫描器、渗透测试工具等）和专业技术能力（包括但不限于2个高级或以上、3个中级或以上相关职称人员）；</w:t>
      </w:r>
    </w:p>
    <w:p>
      <w:pPr>
        <w:spacing w:line="360" w:lineRule="auto"/>
        <w:ind w:firstLine="420" w:firstLineChars="200"/>
        <w:rPr>
          <w:rFonts w:ascii="宋体" w:hAnsi="宋体" w:cs="宋体"/>
        </w:rPr>
      </w:pPr>
      <w:r>
        <w:rPr>
          <w:rFonts w:hint="eastAsia" w:ascii="宋体" w:hAnsi="宋体" w:cs="宋体"/>
        </w:rPr>
        <w:t>5.4. 有依法缴纳税收和社会保障资金的良好记录；</w:t>
      </w:r>
    </w:p>
    <w:p>
      <w:pPr>
        <w:spacing w:line="360" w:lineRule="auto"/>
        <w:ind w:firstLine="420" w:firstLineChars="200"/>
        <w:rPr>
          <w:rFonts w:ascii="宋体" w:hAnsi="宋体" w:cs="宋体"/>
        </w:rPr>
      </w:pPr>
      <w:r>
        <w:rPr>
          <w:rFonts w:hint="eastAsia" w:ascii="宋体" w:hAnsi="宋体" w:cs="宋体"/>
        </w:rPr>
        <w:t>5.5. 近三年内，在经营活动中没有重大违法记录；</w:t>
      </w:r>
    </w:p>
    <w:p>
      <w:pPr>
        <w:spacing w:line="360" w:lineRule="auto"/>
        <w:ind w:firstLine="420" w:firstLineChars="200"/>
        <w:rPr>
          <w:rFonts w:ascii="宋体" w:hAnsi="宋体" w:cs="宋体"/>
        </w:rPr>
      </w:pPr>
      <w:r>
        <w:rPr>
          <w:rFonts w:hint="eastAsia" w:ascii="宋体" w:hAnsi="宋体" w:cs="宋体"/>
        </w:rPr>
        <w:t>5.6. 具有IS09001质量管理体系认证证书；</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7</w:t>
      </w:r>
      <w:r>
        <w:rPr>
          <w:rFonts w:hint="eastAsia" w:ascii="宋体" w:hAnsi="宋体" w:cs="宋体"/>
        </w:rPr>
        <w:t>. 具有ISO27001信息安全管理体系认证证书；</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8</w:t>
      </w:r>
      <w:r>
        <w:rPr>
          <w:rFonts w:hint="eastAsia" w:ascii="宋体" w:hAnsi="宋体" w:cs="宋体"/>
        </w:rPr>
        <w:t>. 具有CCRC信息安全服务风险评估资质认证证书。</w:t>
      </w:r>
    </w:p>
    <w:p>
      <w:pPr>
        <w:pStyle w:val="33"/>
        <w:spacing w:before="0" w:beforeAutospacing="0" w:after="0" w:afterAutospacing="0" w:line="450" w:lineRule="atLeast"/>
        <w:ind w:firstLine="420"/>
        <w:jc w:val="both"/>
        <w:rPr>
          <w:kern w:val="2"/>
          <w:sz w:val="21"/>
          <w:szCs w:val="21"/>
        </w:rPr>
      </w:pPr>
      <w:r>
        <w:rPr>
          <w:rFonts w:hint="eastAsia"/>
          <w:kern w:val="2"/>
          <w:sz w:val="21"/>
          <w:szCs w:val="21"/>
        </w:rPr>
        <w:t>6、凡有意参加竞选者，请于</w:t>
      </w:r>
      <w:r>
        <w:rPr>
          <w:kern w:val="2"/>
          <w:sz w:val="21"/>
          <w:szCs w:val="21"/>
        </w:rPr>
        <w:t>2024</w:t>
      </w:r>
      <w:r>
        <w:rPr>
          <w:rFonts w:hint="eastAsia"/>
          <w:kern w:val="2"/>
          <w:sz w:val="21"/>
          <w:szCs w:val="21"/>
        </w:rPr>
        <w:t>年</w:t>
      </w:r>
      <w:r>
        <w:rPr>
          <w:rFonts w:hint="eastAsia"/>
          <w:kern w:val="2"/>
          <w:sz w:val="21"/>
          <w:szCs w:val="21"/>
          <w:lang w:val="en-US" w:eastAsia="zh-CN"/>
        </w:rPr>
        <w:t>3</w:t>
      </w:r>
      <w:r>
        <w:rPr>
          <w:rFonts w:hint="eastAsia"/>
          <w:kern w:val="2"/>
          <w:sz w:val="21"/>
          <w:szCs w:val="21"/>
        </w:rPr>
        <w:t>月</w:t>
      </w:r>
      <w:r>
        <w:rPr>
          <w:rFonts w:hint="eastAsia"/>
          <w:kern w:val="2"/>
          <w:sz w:val="21"/>
          <w:szCs w:val="21"/>
          <w:lang w:val="en-US" w:eastAsia="zh-CN"/>
        </w:rPr>
        <w:t>28</w:t>
      </w:r>
      <w:r>
        <w:rPr>
          <w:rFonts w:hint="eastAsia"/>
          <w:kern w:val="2"/>
          <w:sz w:val="21"/>
          <w:szCs w:val="21"/>
        </w:rPr>
        <w:t>日（北京时间，下同）起在重庆国际投资咨询集团有限公司网（</w:t>
      </w:r>
      <w:r>
        <w:rPr>
          <w:kern w:val="2"/>
          <w:sz w:val="21"/>
          <w:szCs w:val="21"/>
        </w:rPr>
        <w:t>http://www.cqiic.com/</w:t>
      </w:r>
      <w:r>
        <w:rPr>
          <w:rFonts w:hint="eastAsia"/>
          <w:kern w:val="2"/>
          <w:sz w:val="21"/>
          <w:szCs w:val="21"/>
        </w:rPr>
        <w:t>）下载比选文件、澄清、修改、补充通知、最高限价通知等全部内容。不管下载与否都视为潜在比选申请人全部知晓有关比选全部内容。</w:t>
      </w:r>
    </w:p>
    <w:p>
      <w:pPr>
        <w:pStyle w:val="33"/>
        <w:spacing w:before="0" w:beforeAutospacing="0" w:after="0" w:afterAutospacing="0" w:line="450" w:lineRule="atLeast"/>
        <w:ind w:firstLine="420"/>
        <w:jc w:val="both"/>
        <w:rPr>
          <w:kern w:val="2"/>
          <w:sz w:val="21"/>
          <w:szCs w:val="21"/>
        </w:rPr>
      </w:pPr>
      <w:r>
        <w:rPr>
          <w:rFonts w:hint="eastAsia"/>
          <w:kern w:val="2"/>
          <w:sz w:val="21"/>
          <w:szCs w:val="21"/>
        </w:rPr>
        <w:t>6.2比选申请人通过电子邮件形式（电子邮箱：1638754528</w:t>
      </w:r>
      <w:r>
        <w:rPr>
          <w:kern w:val="2"/>
          <w:sz w:val="21"/>
          <w:szCs w:val="21"/>
        </w:rPr>
        <w:t>@qq.com</w:t>
      </w:r>
      <w:r>
        <w:rPr>
          <w:rFonts w:hint="eastAsia"/>
          <w:kern w:val="2"/>
          <w:sz w:val="21"/>
          <w:szCs w:val="21"/>
        </w:rPr>
        <w:t>）提出疑问，提问时间从本公告发布至</w:t>
      </w:r>
      <w:r>
        <w:rPr>
          <w:kern w:val="2"/>
          <w:sz w:val="21"/>
          <w:szCs w:val="21"/>
        </w:rPr>
        <w:t>2024</w:t>
      </w:r>
      <w:r>
        <w:rPr>
          <w:rFonts w:hint="eastAsia"/>
          <w:kern w:val="2"/>
          <w:sz w:val="21"/>
          <w:szCs w:val="21"/>
        </w:rPr>
        <w:t>年</w:t>
      </w:r>
      <w:r>
        <w:rPr>
          <w:rFonts w:hint="eastAsia"/>
          <w:kern w:val="2"/>
          <w:sz w:val="21"/>
          <w:szCs w:val="21"/>
          <w:lang w:val="en-US" w:eastAsia="zh-CN"/>
        </w:rPr>
        <w:t>3</w:t>
      </w:r>
      <w:r>
        <w:rPr>
          <w:rFonts w:hint="eastAsia"/>
          <w:kern w:val="2"/>
          <w:sz w:val="21"/>
          <w:szCs w:val="21"/>
        </w:rPr>
        <w:t>月</w:t>
      </w:r>
      <w:r>
        <w:rPr>
          <w:rFonts w:hint="eastAsia"/>
          <w:kern w:val="2"/>
          <w:sz w:val="21"/>
          <w:szCs w:val="21"/>
          <w:lang w:val="en-US" w:eastAsia="zh-CN"/>
        </w:rPr>
        <w:t>31</w:t>
      </w:r>
      <w:r>
        <w:rPr>
          <w:rFonts w:hint="eastAsia"/>
          <w:kern w:val="2"/>
          <w:sz w:val="21"/>
          <w:szCs w:val="21"/>
        </w:rPr>
        <w:t>日17时</w:t>
      </w:r>
      <w:r>
        <w:rPr>
          <w:kern w:val="2"/>
          <w:sz w:val="21"/>
          <w:szCs w:val="21"/>
        </w:rPr>
        <w:t>00</w:t>
      </w:r>
      <w:r>
        <w:rPr>
          <w:rFonts w:hint="eastAsia"/>
          <w:kern w:val="2"/>
          <w:sz w:val="21"/>
          <w:szCs w:val="21"/>
        </w:rPr>
        <w:t>分（北京时间）前。</w:t>
      </w:r>
    </w:p>
    <w:p>
      <w:pPr>
        <w:pStyle w:val="33"/>
        <w:spacing w:before="0" w:beforeAutospacing="0" w:after="0" w:afterAutospacing="0" w:line="450" w:lineRule="atLeast"/>
        <w:ind w:firstLine="420"/>
        <w:jc w:val="both"/>
        <w:rPr>
          <w:kern w:val="2"/>
          <w:sz w:val="21"/>
          <w:szCs w:val="21"/>
        </w:rPr>
      </w:pPr>
      <w:r>
        <w:rPr>
          <w:rFonts w:hint="eastAsia"/>
          <w:kern w:val="2"/>
          <w:sz w:val="21"/>
          <w:szCs w:val="21"/>
        </w:rPr>
        <w:t>6.3比选人应于</w:t>
      </w:r>
      <w:r>
        <w:rPr>
          <w:kern w:val="2"/>
          <w:sz w:val="21"/>
          <w:szCs w:val="21"/>
        </w:rPr>
        <w:t>2024</w:t>
      </w:r>
      <w:r>
        <w:rPr>
          <w:rFonts w:hint="eastAsia"/>
          <w:kern w:val="2"/>
          <w:sz w:val="21"/>
          <w:szCs w:val="21"/>
        </w:rPr>
        <w:t>年</w:t>
      </w:r>
      <w:r>
        <w:rPr>
          <w:rFonts w:hint="eastAsia"/>
          <w:kern w:val="2"/>
          <w:sz w:val="21"/>
          <w:szCs w:val="21"/>
          <w:lang w:val="en-US" w:eastAsia="zh-CN"/>
        </w:rPr>
        <w:t>4</w:t>
      </w:r>
      <w:r>
        <w:rPr>
          <w:rFonts w:hint="eastAsia"/>
          <w:kern w:val="2"/>
          <w:sz w:val="21"/>
          <w:szCs w:val="21"/>
        </w:rPr>
        <w:t>月</w:t>
      </w:r>
      <w:r>
        <w:rPr>
          <w:rFonts w:hint="eastAsia"/>
          <w:kern w:val="2"/>
          <w:sz w:val="21"/>
          <w:szCs w:val="21"/>
          <w:lang w:val="en-US" w:eastAsia="zh-CN"/>
        </w:rPr>
        <w:t>1</w:t>
      </w:r>
      <w:r>
        <w:rPr>
          <w:rFonts w:hint="eastAsia"/>
          <w:kern w:val="2"/>
          <w:sz w:val="21"/>
          <w:szCs w:val="21"/>
        </w:rPr>
        <w:t>日</w:t>
      </w:r>
      <w:r>
        <w:rPr>
          <w:kern w:val="2"/>
          <w:sz w:val="21"/>
          <w:szCs w:val="21"/>
        </w:rPr>
        <w:t>18</w:t>
      </w:r>
      <w:r>
        <w:rPr>
          <w:rFonts w:hint="eastAsia"/>
          <w:kern w:val="2"/>
          <w:sz w:val="21"/>
          <w:szCs w:val="21"/>
        </w:rPr>
        <w:t>时</w:t>
      </w:r>
      <w:r>
        <w:rPr>
          <w:kern w:val="2"/>
          <w:sz w:val="21"/>
          <w:szCs w:val="21"/>
        </w:rPr>
        <w:t>00</w:t>
      </w:r>
      <w:r>
        <w:rPr>
          <w:rFonts w:hint="eastAsia"/>
          <w:kern w:val="2"/>
          <w:sz w:val="21"/>
          <w:szCs w:val="21"/>
        </w:rPr>
        <w:t>分（北京时间）前在重庆国际投资咨询集团有限公司网（</w:t>
      </w:r>
      <w:r>
        <w:rPr>
          <w:kern w:val="2"/>
          <w:sz w:val="21"/>
          <w:szCs w:val="21"/>
        </w:rPr>
        <w:t>http://www.cqiic.com/</w:t>
      </w:r>
      <w:r>
        <w:rPr>
          <w:rFonts w:hint="eastAsia"/>
          <w:kern w:val="2"/>
          <w:sz w:val="21"/>
          <w:szCs w:val="21"/>
        </w:rPr>
        <w:t>）发布澄清或修改。</w:t>
      </w:r>
    </w:p>
    <w:p>
      <w:pPr>
        <w:spacing w:line="360" w:lineRule="auto"/>
        <w:ind w:firstLine="420" w:firstLineChars="200"/>
        <w:rPr>
          <w:rFonts w:ascii="宋体" w:hAnsi="宋体" w:cs="宋体"/>
        </w:rPr>
      </w:pPr>
      <w:r>
        <w:rPr>
          <w:rFonts w:hint="eastAsia" w:ascii="宋体" w:hAnsi="宋体" w:cs="宋体"/>
        </w:rPr>
        <w:t>7、比选地点：</w:t>
      </w:r>
      <w:r>
        <w:rPr>
          <w:rFonts w:hint="eastAsia" w:ascii="宋体" w:hAnsi="宋体" w:cs="宋体"/>
          <w:snapToGrid w:val="0"/>
        </w:rPr>
        <w:t>重庆咨询大厦开标大厅，</w:t>
      </w:r>
      <w:r>
        <w:rPr>
          <w:rFonts w:hint="eastAsia" w:ascii="宋体" w:hAnsi="宋体" w:cs="宋体"/>
          <w:snapToGrid w:val="0"/>
          <w:kern w:val="0"/>
        </w:rPr>
        <w:t>具体详见比选当天重咨大厦负一楼大厅指示牌</w:t>
      </w:r>
      <w:r>
        <w:rPr>
          <w:rFonts w:hint="eastAsia" w:ascii="宋体" w:hAnsi="宋体" w:cs="宋体"/>
        </w:rPr>
        <w:t>。</w:t>
      </w:r>
    </w:p>
    <w:p>
      <w:pPr>
        <w:spacing w:line="360" w:lineRule="auto"/>
        <w:ind w:firstLine="420" w:firstLineChars="200"/>
        <w:rPr>
          <w:rFonts w:ascii="宋体"/>
        </w:rPr>
      </w:pPr>
      <w:r>
        <w:rPr>
          <w:rFonts w:hint="eastAsia" w:ascii="宋体" w:hAnsi="宋体" w:cs="宋体"/>
        </w:rPr>
        <w:t>比选截止时间：2024年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4</w:t>
      </w:r>
      <w:r>
        <w:rPr>
          <w:rFonts w:hint="eastAsia" w:ascii="宋体" w:hAnsi="宋体" w:cs="宋体"/>
        </w:rPr>
        <w:t>日10：00（提前30分钟接收比选申请文件），</w:t>
      </w:r>
      <w:r>
        <w:rPr>
          <w:rFonts w:hint="eastAsia" w:ascii="宋体" w:hAnsi="宋体" w:cs="宋体"/>
          <w:snapToGrid w:val="0"/>
          <w:kern w:val="0"/>
        </w:rPr>
        <w:t>逾期送达的或者未送达指定地点的比选申请文件，比选人不予受理</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8、发布媒介：本次比选公告同时在《中国招标投标公共服务平台（http://www.cebpubservice.com）》、《重庆国际投资咨询集团有限公司网（www.cqiic.com）》和《咨采平台（http://www.zicaipingtai.com）》上发布。</w:t>
      </w:r>
    </w:p>
    <w:p>
      <w:pPr>
        <w:spacing w:line="360" w:lineRule="auto"/>
        <w:ind w:firstLine="420" w:firstLineChars="200"/>
        <w:rPr>
          <w:rFonts w:ascii="宋体"/>
        </w:rPr>
      </w:pPr>
      <w:r>
        <w:rPr>
          <w:rFonts w:hint="eastAsia" w:ascii="宋体" w:hAnsi="宋体" w:cs="宋体"/>
        </w:rPr>
        <w:t>9、联系方式：</w:t>
      </w:r>
    </w:p>
    <w:p>
      <w:pPr>
        <w:spacing w:line="360" w:lineRule="auto"/>
        <w:rPr>
          <w:rFonts w:ascii="宋体" w:hAnsi="宋体" w:cs="宋体"/>
        </w:rPr>
      </w:pPr>
      <w:r>
        <w:rPr>
          <w:rFonts w:hint="eastAsia" w:ascii="宋体" w:hAnsi="宋体" w:cs="宋体"/>
        </w:rPr>
        <w:t>比 选 人：重庆国际投资咨询集团有限公司</w:t>
      </w:r>
    </w:p>
    <w:p>
      <w:pPr>
        <w:spacing w:line="360" w:lineRule="auto"/>
        <w:rPr>
          <w:rFonts w:ascii="宋体" w:hAnsi="宋体" w:cs="宋体"/>
        </w:rPr>
      </w:pPr>
      <w:r>
        <w:rPr>
          <w:rFonts w:hint="eastAsia" w:ascii="宋体" w:hAnsi="宋体" w:cs="宋体"/>
        </w:rPr>
        <w:t>地    址：重庆市江北区五里店五简路2号重咨大厦</w:t>
      </w:r>
    </w:p>
    <w:p>
      <w:pPr>
        <w:spacing w:line="360" w:lineRule="auto"/>
        <w:rPr>
          <w:rFonts w:ascii="宋体" w:hAnsi="宋体" w:cs="宋体"/>
        </w:rPr>
      </w:pPr>
      <w:r>
        <w:rPr>
          <w:rFonts w:hint="eastAsia" w:ascii="宋体" w:hAnsi="宋体" w:cs="宋体"/>
        </w:rPr>
        <w:t>联 系 人：朱女士</w:t>
      </w:r>
    </w:p>
    <w:p>
      <w:pPr>
        <w:spacing w:line="360" w:lineRule="auto"/>
      </w:pPr>
      <w:r>
        <w:rPr>
          <w:rFonts w:hint="eastAsia" w:ascii="宋体" w:hAnsi="宋体" w:cs="宋体"/>
        </w:rPr>
        <w:t>电    话：023-67705706</w:t>
      </w:r>
    </w:p>
    <w:p>
      <w:pPr>
        <w:spacing w:line="360" w:lineRule="auto"/>
        <w:rPr>
          <w:rFonts w:ascii="宋体" w:hAnsi="宋体" w:cs="宋体"/>
        </w:rPr>
      </w:pPr>
    </w:p>
    <w:p>
      <w:pPr>
        <w:spacing w:line="360" w:lineRule="auto"/>
        <w:rPr>
          <w:rFonts w:ascii="宋体"/>
        </w:rPr>
      </w:pPr>
      <w:r>
        <w:rPr>
          <w:rFonts w:hint="eastAsia" w:ascii="宋体" w:hAnsi="宋体" w:cs="宋体"/>
        </w:rPr>
        <w:t>代理机构：重庆招标采购（集团）有限责任公司</w:t>
      </w:r>
    </w:p>
    <w:p>
      <w:pPr>
        <w:spacing w:line="360" w:lineRule="auto"/>
        <w:rPr>
          <w:rFonts w:ascii="宋体"/>
        </w:rPr>
      </w:pPr>
      <w:r>
        <w:rPr>
          <w:rFonts w:hint="eastAsia" w:ascii="宋体" w:hAnsi="宋体" w:cs="宋体"/>
        </w:rPr>
        <w:t>地址：重庆市江北区五里店五简路</w:t>
      </w:r>
      <w:r>
        <w:rPr>
          <w:rFonts w:ascii="宋体" w:hAnsi="宋体" w:cs="宋体"/>
        </w:rPr>
        <w:t>2</w:t>
      </w:r>
      <w:r>
        <w:rPr>
          <w:rFonts w:hint="eastAsia" w:ascii="宋体" w:hAnsi="宋体" w:cs="宋体"/>
        </w:rPr>
        <w:t>号重庆咨询大厦</w:t>
      </w:r>
    </w:p>
    <w:p>
      <w:pPr>
        <w:spacing w:line="360" w:lineRule="auto"/>
        <w:rPr>
          <w:rFonts w:ascii="宋体"/>
        </w:rPr>
      </w:pPr>
      <w:r>
        <w:rPr>
          <w:rFonts w:hint="eastAsia" w:ascii="宋体" w:hAnsi="宋体" w:cs="宋体"/>
        </w:rPr>
        <w:t>联系人：王女士</w:t>
      </w:r>
    </w:p>
    <w:p>
      <w:pPr>
        <w:spacing w:line="360" w:lineRule="auto"/>
        <w:rPr>
          <w:rFonts w:ascii="宋体"/>
        </w:rPr>
      </w:pPr>
      <w:r>
        <w:rPr>
          <w:rFonts w:hint="eastAsia" w:ascii="宋体" w:hAnsi="宋体" w:cs="宋体"/>
        </w:rPr>
        <w:t>电话：023-67100375</w:t>
      </w:r>
    </w:p>
    <w:p>
      <w:pPr>
        <w:spacing w:line="360" w:lineRule="auto"/>
        <w:ind w:firstLine="470" w:firstLineChars="224"/>
        <w:jc w:val="center"/>
        <w:outlineLvl w:val="0"/>
        <w:rPr>
          <w:rFonts w:ascii="宋体"/>
          <w:sz w:val="28"/>
          <w:szCs w:val="28"/>
        </w:rPr>
      </w:pPr>
      <w:r>
        <w:rPr>
          <w:rFonts w:ascii="宋体"/>
        </w:rPr>
        <w:br w:type="page"/>
      </w:r>
      <w:bookmarkStart w:id="3" w:name="_Toc120633465"/>
      <w:r>
        <w:rPr>
          <w:rFonts w:hint="eastAsia" w:ascii="宋体" w:hAnsi="宋体" w:cs="宋体"/>
          <w:sz w:val="28"/>
          <w:szCs w:val="28"/>
        </w:rPr>
        <w:t>第二部分 比选须知</w:t>
      </w:r>
      <w:bookmarkEnd w:id="3"/>
    </w:p>
    <w:p>
      <w:pPr>
        <w:tabs>
          <w:tab w:val="left" w:pos="1800"/>
        </w:tabs>
        <w:spacing w:line="360" w:lineRule="auto"/>
        <w:ind w:right="-874" w:rightChars="-416"/>
        <w:outlineLvl w:val="1"/>
        <w:rPr>
          <w:rFonts w:ascii="宋体" w:hAnsi="宋体" w:cs="宋体"/>
          <w:b/>
          <w:bCs/>
          <w:u w:val="single"/>
        </w:rPr>
      </w:pPr>
      <w:bookmarkStart w:id="4" w:name="_Toc28329"/>
      <w:bookmarkStart w:id="5" w:name="_Toc32630"/>
      <w:bookmarkStart w:id="6" w:name="_Toc120633466"/>
      <w:r>
        <w:rPr>
          <w:rFonts w:hint="eastAsia" w:ascii="宋体" w:hAnsi="宋体" w:cs="宋体"/>
          <w:b/>
          <w:bCs/>
        </w:rPr>
        <w:t>一、项目名称：</w:t>
      </w:r>
      <w:bookmarkEnd w:id="4"/>
      <w:bookmarkEnd w:id="5"/>
      <w:bookmarkEnd w:id="6"/>
      <w:bookmarkStart w:id="7" w:name="_Toc5888"/>
      <w:bookmarkStart w:id="8" w:name="_Toc27802"/>
      <w:r>
        <w:rPr>
          <w:rFonts w:hint="eastAsia" w:ascii="宋体" w:hAnsi="宋体" w:cs="宋体"/>
        </w:rPr>
        <w:t>重咨集团网络与信息安全技术服务采购</w:t>
      </w:r>
    </w:p>
    <w:p>
      <w:pPr>
        <w:tabs>
          <w:tab w:val="left" w:pos="1800"/>
        </w:tabs>
        <w:spacing w:line="360" w:lineRule="auto"/>
        <w:ind w:right="-874" w:rightChars="-416"/>
        <w:outlineLvl w:val="1"/>
        <w:rPr>
          <w:rFonts w:ascii="宋体"/>
          <w:b/>
          <w:bCs/>
        </w:rPr>
      </w:pPr>
      <w:bookmarkStart w:id="9" w:name="_Toc120633467"/>
      <w:r>
        <w:rPr>
          <w:rFonts w:hint="eastAsia" w:ascii="宋体" w:hAnsi="宋体" w:cs="宋体"/>
          <w:b/>
          <w:bCs/>
        </w:rPr>
        <w:t>二、比选申请人资格要求：</w:t>
      </w:r>
      <w:bookmarkEnd w:id="7"/>
      <w:bookmarkEnd w:id="8"/>
      <w:bookmarkEnd w:id="9"/>
    </w:p>
    <w:p>
      <w:pPr>
        <w:tabs>
          <w:tab w:val="left" w:pos="1800"/>
        </w:tabs>
        <w:spacing w:line="360" w:lineRule="auto"/>
        <w:ind w:right="-874" w:rightChars="-416" w:firstLine="420" w:firstLineChars="200"/>
        <w:outlineLvl w:val="1"/>
        <w:rPr>
          <w:rFonts w:ascii="宋体" w:hAnsi="宋体" w:cs="宋体"/>
        </w:rPr>
      </w:pPr>
      <w:bookmarkStart w:id="10" w:name="_Toc120633472"/>
      <w:bookmarkStart w:id="11" w:name="_Toc2986"/>
      <w:bookmarkStart w:id="12" w:name="_Toc28087"/>
      <w:r>
        <w:rPr>
          <w:rFonts w:hint="eastAsia" w:ascii="宋体" w:hAnsi="宋体" w:cs="宋体"/>
        </w:rPr>
        <w:t>1、具有有效的营业执照或法人证书</w:t>
      </w:r>
      <w:r>
        <w:rPr>
          <w:rFonts w:hint="eastAsia" w:ascii="宋体" w:hAnsi="宋体" w:cs="宋体"/>
          <w:b/>
          <w:bCs/>
        </w:rPr>
        <w:t>[提供营业执照或法人证书复印件并加盖公章]</w:t>
      </w:r>
      <w:r>
        <w:rPr>
          <w:rFonts w:hint="eastAsia" w:ascii="宋体" w:hAnsi="宋体" w:cs="宋体"/>
        </w:rPr>
        <w:t>；</w:t>
      </w:r>
    </w:p>
    <w:p>
      <w:pPr>
        <w:tabs>
          <w:tab w:val="left" w:pos="1800"/>
        </w:tabs>
        <w:spacing w:line="360" w:lineRule="auto"/>
        <w:ind w:right="-874" w:rightChars="-416" w:firstLine="420" w:firstLineChars="200"/>
        <w:outlineLvl w:val="1"/>
        <w:rPr>
          <w:rFonts w:ascii="宋体" w:hAnsi="宋体" w:cs="宋体"/>
        </w:rPr>
      </w:pPr>
      <w:r>
        <w:rPr>
          <w:rFonts w:hint="eastAsia" w:ascii="宋体" w:hAnsi="宋体" w:cs="宋体"/>
        </w:rPr>
        <w:t>2、具有良好的商业信誉和健全的财务会计制度</w:t>
      </w:r>
      <w:r>
        <w:rPr>
          <w:rFonts w:hint="eastAsia" w:ascii="宋体" w:hAnsi="宋体" w:cs="宋体"/>
          <w:b/>
          <w:bCs/>
        </w:rPr>
        <w:t>[比选申请人自行承诺（格式自拟）并加盖公章]</w:t>
      </w:r>
      <w:r>
        <w:rPr>
          <w:rFonts w:hint="eastAsia" w:ascii="宋体" w:hAnsi="宋体" w:cs="宋体"/>
        </w:rPr>
        <w:t>；</w:t>
      </w:r>
    </w:p>
    <w:p>
      <w:pPr>
        <w:tabs>
          <w:tab w:val="left" w:pos="1800"/>
        </w:tabs>
        <w:spacing w:line="360" w:lineRule="auto"/>
        <w:ind w:right="-874" w:rightChars="-416" w:firstLine="420" w:firstLineChars="200"/>
        <w:outlineLvl w:val="1"/>
        <w:rPr>
          <w:rFonts w:ascii="宋体" w:hAnsi="宋体" w:cs="宋体"/>
        </w:rPr>
      </w:pPr>
      <w:r>
        <w:rPr>
          <w:rFonts w:hint="eastAsia" w:ascii="宋体" w:hAnsi="宋体" w:cs="宋体"/>
        </w:rPr>
        <w:t>3、具备履行合同所必需的设备或工具（包括但不限于漏洞扫描器、渗透测试工具等）和专业技术能力（包括但不限于2个高级或以上、3个中级或以上相关职称人员）</w:t>
      </w:r>
      <w:r>
        <w:rPr>
          <w:rFonts w:hint="eastAsia" w:ascii="宋体" w:hAnsi="宋体" w:cs="宋体"/>
          <w:b/>
          <w:bCs/>
        </w:rPr>
        <w:t>[比选申请人自行承诺（格式自拟）并加盖公章]</w:t>
      </w:r>
      <w:r>
        <w:rPr>
          <w:rFonts w:hint="eastAsia" w:ascii="宋体" w:hAnsi="宋体" w:cs="宋体"/>
        </w:rPr>
        <w:t>；</w:t>
      </w:r>
    </w:p>
    <w:p>
      <w:pPr>
        <w:tabs>
          <w:tab w:val="left" w:pos="1800"/>
        </w:tabs>
        <w:spacing w:line="360" w:lineRule="auto"/>
        <w:ind w:right="-874" w:rightChars="-416" w:firstLine="420" w:firstLineChars="200"/>
        <w:outlineLvl w:val="1"/>
        <w:rPr>
          <w:rFonts w:ascii="宋体" w:hAnsi="宋体" w:cs="宋体"/>
        </w:rPr>
      </w:pPr>
      <w:r>
        <w:rPr>
          <w:rFonts w:hint="eastAsia" w:ascii="宋体" w:hAnsi="宋体" w:cs="宋体"/>
        </w:rPr>
        <w:t>4、有依法缴纳税收和社会保障资金的良好记录</w:t>
      </w:r>
      <w:r>
        <w:rPr>
          <w:rFonts w:hint="eastAsia" w:ascii="宋体" w:hAnsi="宋体" w:cs="宋体"/>
          <w:b/>
          <w:bCs/>
        </w:rPr>
        <w:t>[比选申请人自行承诺（格式自拟）并加盖公章]</w:t>
      </w:r>
      <w:r>
        <w:rPr>
          <w:rFonts w:hint="eastAsia" w:ascii="宋体" w:hAnsi="宋体" w:cs="宋体"/>
        </w:rPr>
        <w:t>；</w:t>
      </w:r>
    </w:p>
    <w:p>
      <w:pPr>
        <w:tabs>
          <w:tab w:val="left" w:pos="1800"/>
        </w:tabs>
        <w:spacing w:line="360" w:lineRule="auto"/>
        <w:ind w:right="-874" w:rightChars="-416" w:firstLine="420" w:firstLineChars="200"/>
        <w:outlineLvl w:val="1"/>
        <w:rPr>
          <w:rFonts w:ascii="宋体" w:hAnsi="宋体" w:cs="宋体"/>
        </w:rPr>
      </w:pPr>
      <w:r>
        <w:rPr>
          <w:rFonts w:hint="eastAsia" w:ascii="宋体" w:hAnsi="宋体" w:cs="宋体"/>
        </w:rPr>
        <w:t>5、近三年内，在经营活动中没有重大违法记录</w:t>
      </w:r>
      <w:r>
        <w:rPr>
          <w:rFonts w:hint="eastAsia" w:ascii="宋体" w:hAnsi="宋体" w:cs="宋体"/>
          <w:b/>
          <w:bCs/>
        </w:rPr>
        <w:t>[比选申请人自行承诺（格式自拟）并加盖公章]</w:t>
      </w:r>
      <w:r>
        <w:rPr>
          <w:rFonts w:hint="eastAsia" w:ascii="宋体" w:hAnsi="宋体" w:cs="宋体"/>
        </w:rPr>
        <w:t>；</w:t>
      </w:r>
    </w:p>
    <w:p>
      <w:pPr>
        <w:tabs>
          <w:tab w:val="left" w:pos="1800"/>
        </w:tabs>
        <w:spacing w:line="360" w:lineRule="auto"/>
        <w:ind w:right="-874" w:rightChars="-416" w:firstLine="420" w:firstLineChars="200"/>
        <w:outlineLvl w:val="1"/>
        <w:rPr>
          <w:rFonts w:ascii="宋体" w:hAnsi="宋体" w:cs="宋体"/>
        </w:rPr>
      </w:pPr>
      <w:r>
        <w:rPr>
          <w:rFonts w:hint="eastAsia" w:ascii="宋体" w:hAnsi="宋体" w:cs="宋体"/>
        </w:rPr>
        <w:t>6、具有IS09001质量管理体系认证证书</w:t>
      </w:r>
      <w:r>
        <w:rPr>
          <w:rFonts w:hint="eastAsia" w:ascii="宋体" w:hAnsi="宋体" w:cs="宋体"/>
          <w:b/>
          <w:bCs/>
        </w:rPr>
        <w:t>[提供有效的证书复印件并加盖公章]</w:t>
      </w:r>
      <w:r>
        <w:rPr>
          <w:rFonts w:hint="eastAsia" w:ascii="宋体" w:hAnsi="宋体" w:cs="宋体"/>
        </w:rPr>
        <w:t>；</w:t>
      </w:r>
    </w:p>
    <w:p>
      <w:pPr>
        <w:tabs>
          <w:tab w:val="left" w:pos="1800"/>
        </w:tabs>
        <w:spacing w:line="360" w:lineRule="auto"/>
        <w:ind w:right="-874" w:rightChars="-416" w:firstLine="420" w:firstLineChars="200"/>
        <w:outlineLvl w:val="1"/>
        <w:rPr>
          <w:rFonts w:ascii="宋体" w:hAnsi="宋体" w:cs="宋体"/>
        </w:rPr>
      </w:pPr>
      <w:r>
        <w:rPr>
          <w:rFonts w:hint="eastAsia" w:ascii="宋体" w:hAnsi="宋体" w:cs="宋体"/>
        </w:rPr>
        <w:t>7、具有ISO27001信息安全管理体系认证证书</w:t>
      </w:r>
      <w:r>
        <w:rPr>
          <w:rFonts w:hint="eastAsia" w:ascii="宋体" w:hAnsi="宋体" w:cs="宋体"/>
          <w:b/>
          <w:bCs/>
        </w:rPr>
        <w:t>[提供有效的证书复印件并加盖公章]</w:t>
      </w:r>
      <w:r>
        <w:rPr>
          <w:rFonts w:hint="eastAsia" w:ascii="宋体" w:hAnsi="宋体" w:cs="宋体"/>
        </w:rPr>
        <w:t>；</w:t>
      </w:r>
    </w:p>
    <w:p>
      <w:pPr>
        <w:tabs>
          <w:tab w:val="left" w:pos="1800"/>
        </w:tabs>
        <w:spacing w:line="360" w:lineRule="auto"/>
        <w:ind w:right="-874" w:rightChars="-416" w:firstLine="420" w:firstLineChars="200"/>
        <w:outlineLvl w:val="1"/>
        <w:rPr>
          <w:rFonts w:ascii="宋体" w:hAnsi="宋体" w:cs="宋体"/>
        </w:rPr>
      </w:pPr>
      <w:r>
        <w:rPr>
          <w:rFonts w:ascii="宋体" w:hAnsi="宋体" w:cs="宋体"/>
        </w:rPr>
        <w:t>8</w:t>
      </w:r>
      <w:r>
        <w:rPr>
          <w:rFonts w:hint="eastAsia" w:ascii="宋体" w:hAnsi="宋体" w:cs="宋体"/>
        </w:rPr>
        <w:t>、具有CCRC信息安全服务风险评估资质认证证书</w:t>
      </w:r>
      <w:r>
        <w:rPr>
          <w:rFonts w:hint="eastAsia" w:ascii="宋体" w:hAnsi="宋体" w:cs="宋体"/>
          <w:b/>
          <w:bCs/>
        </w:rPr>
        <w:t>[提供有效的证书复印件并加盖公章]</w:t>
      </w:r>
      <w:r>
        <w:rPr>
          <w:rFonts w:hint="eastAsia" w:ascii="宋体" w:hAnsi="宋体" w:cs="宋体"/>
        </w:rPr>
        <w:t>；</w:t>
      </w:r>
    </w:p>
    <w:p>
      <w:pPr>
        <w:tabs>
          <w:tab w:val="left" w:pos="1800"/>
        </w:tabs>
        <w:spacing w:line="360" w:lineRule="auto"/>
        <w:ind w:right="-874" w:rightChars="-416"/>
        <w:outlineLvl w:val="1"/>
        <w:rPr>
          <w:rFonts w:ascii="宋体"/>
          <w:b/>
          <w:bCs/>
        </w:rPr>
      </w:pPr>
      <w:r>
        <w:rPr>
          <w:rFonts w:hint="eastAsia" w:ascii="宋体" w:hAnsi="宋体" w:cs="宋体"/>
          <w:b/>
          <w:bCs/>
        </w:rPr>
        <w:t>三、比选限价、报价、评分说明</w:t>
      </w:r>
      <w:r>
        <w:rPr>
          <w:rFonts w:ascii="宋体" w:hAnsi="宋体" w:cs="宋体"/>
          <w:b/>
          <w:bCs/>
        </w:rPr>
        <w:t>:</w:t>
      </w:r>
      <w:bookmarkEnd w:id="10"/>
      <w:bookmarkEnd w:id="11"/>
      <w:bookmarkEnd w:id="12"/>
    </w:p>
    <w:p>
      <w:pPr>
        <w:tabs>
          <w:tab w:val="left" w:pos="1800"/>
        </w:tabs>
        <w:spacing w:line="360" w:lineRule="auto"/>
        <w:ind w:right="-874" w:rightChars="-416" w:firstLine="420" w:firstLineChars="200"/>
        <w:outlineLvl w:val="1"/>
        <w:rPr>
          <w:rFonts w:ascii="宋体" w:hAnsi="宋体" w:cs="宋体"/>
        </w:rPr>
      </w:pPr>
      <w:bookmarkStart w:id="13" w:name="_Toc25906"/>
      <w:bookmarkStart w:id="14" w:name="_Toc120633473"/>
      <w:r>
        <w:rPr>
          <w:rFonts w:hint="eastAsia" w:ascii="宋体" w:hAnsi="宋体" w:cs="宋体"/>
        </w:rPr>
        <w:t>1、本项目比选申请最高限价为500000元</w:t>
      </w:r>
      <w:bookmarkEnd w:id="13"/>
      <w:r>
        <w:rPr>
          <w:rFonts w:hint="eastAsia" w:ascii="宋体" w:hAnsi="宋体" w:cs="宋体"/>
        </w:rPr>
        <w:t>。比选申请人的比选申请报价不得超过比选人设置的最高限价，否则作否决投标处理。比选申请人自行组织踏勘现场、结合自身实际情况自主报价（报价保留小数点后两位）。</w:t>
      </w:r>
      <w:bookmarkEnd w:id="14"/>
    </w:p>
    <w:p>
      <w:pPr>
        <w:tabs>
          <w:tab w:val="left" w:pos="1800"/>
        </w:tabs>
        <w:spacing w:line="360" w:lineRule="auto"/>
        <w:ind w:right="-874" w:rightChars="-416" w:firstLine="420" w:firstLineChars="200"/>
        <w:outlineLvl w:val="1"/>
        <w:rPr>
          <w:rFonts w:ascii="宋体" w:hAnsi="宋体" w:cs="宋体"/>
        </w:rPr>
      </w:pPr>
      <w:bookmarkStart w:id="15" w:name="_Toc20735"/>
      <w:bookmarkStart w:id="16" w:name="_Toc120633474"/>
      <w:r>
        <w:rPr>
          <w:rFonts w:hint="eastAsia" w:ascii="宋体" w:hAnsi="宋体" w:cs="宋体"/>
        </w:rPr>
        <w:t>2、该比选申请报价包括但不限于完成本项目的人工费、材料费（含损耗）、机械费、运输费、装卸车库、措施费、企业管理费及利润、风险费用（包括但不限于可能出现的材料市场波动、政策性调整等因素）、规费、税金等一切费</w:t>
      </w:r>
      <w:bookmarkEnd w:id="15"/>
      <w:bookmarkEnd w:id="16"/>
      <w:r>
        <w:rPr>
          <w:rFonts w:hint="eastAsia" w:ascii="宋体" w:hAnsi="宋体" w:cs="宋体"/>
        </w:rPr>
        <w:t>用。</w:t>
      </w:r>
    </w:p>
    <w:p>
      <w:pPr>
        <w:pStyle w:val="13"/>
        <w:spacing w:line="360" w:lineRule="auto"/>
        <w:rPr>
          <w:color w:val="000000"/>
        </w:rPr>
      </w:pPr>
      <w:r>
        <w:rPr>
          <w:rFonts w:hint="eastAsia"/>
          <w:sz w:val="21"/>
          <w:szCs w:val="21"/>
        </w:rPr>
        <w:t>3</w:t>
      </w:r>
      <w:r>
        <w:rPr>
          <w:rFonts w:hint="eastAsia"/>
        </w:rPr>
        <w:t>、</w:t>
      </w:r>
      <w:r>
        <w:rPr>
          <w:rFonts w:hint="eastAsia"/>
          <w:sz w:val="21"/>
          <w:szCs w:val="21"/>
        </w:rPr>
        <w:t>评分说明：采用综合评估法。</w:t>
      </w:r>
    </w:p>
    <w:p>
      <w:pPr>
        <w:snapToGrid w:val="0"/>
        <w:spacing w:line="360" w:lineRule="auto"/>
        <w:outlineLvl w:val="1"/>
        <w:rPr>
          <w:rFonts w:ascii="宋体" w:hAnsi="宋体" w:cs="宋体"/>
        </w:rPr>
      </w:pPr>
      <w:bookmarkStart w:id="17" w:name="_Toc3791"/>
      <w:bookmarkStart w:id="18" w:name="_Toc120633475"/>
      <w:bookmarkStart w:id="19" w:name="_Toc9356"/>
      <w:r>
        <w:rPr>
          <w:rFonts w:hint="eastAsia" w:ascii="宋体" w:hAnsi="宋体" w:cs="宋体"/>
          <w:b/>
          <w:bCs/>
        </w:rPr>
        <w:t>四、报价及结算币种：</w:t>
      </w:r>
      <w:r>
        <w:rPr>
          <w:rFonts w:hint="eastAsia" w:ascii="宋体" w:hAnsi="宋体" w:cs="宋体"/>
        </w:rPr>
        <w:t>人民币。</w:t>
      </w:r>
      <w:bookmarkEnd w:id="17"/>
      <w:bookmarkEnd w:id="18"/>
      <w:bookmarkEnd w:id="19"/>
    </w:p>
    <w:p>
      <w:pPr>
        <w:snapToGrid w:val="0"/>
        <w:spacing w:line="360" w:lineRule="auto"/>
        <w:outlineLvl w:val="1"/>
        <w:rPr>
          <w:rFonts w:ascii="宋体" w:hAnsi="宋体" w:cs="宋体"/>
          <w:b/>
          <w:bCs/>
        </w:rPr>
      </w:pPr>
      <w:r>
        <w:rPr>
          <w:rFonts w:hint="eastAsia" w:ascii="宋体" w:hAnsi="宋体" w:cs="宋体"/>
          <w:b/>
          <w:bCs/>
        </w:rPr>
        <w:t>五、结算方式：</w:t>
      </w:r>
    </w:p>
    <w:p>
      <w:pPr>
        <w:snapToGrid w:val="0"/>
        <w:spacing w:line="360" w:lineRule="auto"/>
        <w:ind w:firstLine="420" w:firstLineChars="200"/>
        <w:outlineLvl w:val="1"/>
        <w:rPr>
          <w:rFonts w:ascii="宋体" w:hAnsi="宋体" w:cs="宋体"/>
        </w:rPr>
      </w:pPr>
      <w:bookmarkStart w:id="20" w:name="_Toc120633476"/>
      <w:bookmarkStart w:id="21" w:name="_Toc30064"/>
      <w:bookmarkStart w:id="22" w:name="_Toc10726"/>
      <w:r>
        <w:rPr>
          <w:rFonts w:hint="eastAsia" w:ascii="宋体" w:hAnsi="宋体" w:cs="宋体"/>
        </w:rPr>
        <w:t xml:space="preserve">1、合同签订后 10 个工作日内，支付合同总额的 30%； </w:t>
      </w:r>
    </w:p>
    <w:p>
      <w:pPr>
        <w:snapToGrid w:val="0"/>
        <w:spacing w:line="360" w:lineRule="auto"/>
        <w:ind w:firstLine="420" w:firstLineChars="200"/>
        <w:outlineLvl w:val="1"/>
        <w:rPr>
          <w:rFonts w:ascii="宋体" w:hAnsi="宋体" w:cs="宋体"/>
        </w:rPr>
      </w:pPr>
      <w:r>
        <w:rPr>
          <w:rFonts w:hint="eastAsia" w:ascii="宋体" w:hAnsi="宋体" w:cs="宋体"/>
        </w:rPr>
        <w:t>2、完成安全基础梳理和摸底、网络与信息安全风险评估和数据安全风险评估，出具相应报告，通过甲方验收后 10 个工作日内，支付合同总额的30%；</w:t>
      </w:r>
    </w:p>
    <w:p>
      <w:pPr>
        <w:snapToGrid w:val="0"/>
        <w:spacing w:line="360" w:lineRule="auto"/>
        <w:ind w:firstLine="420" w:firstLineChars="200"/>
        <w:outlineLvl w:val="1"/>
        <w:rPr>
          <w:rFonts w:ascii="宋体" w:hAnsi="宋体" w:cs="宋体"/>
        </w:rPr>
      </w:pPr>
      <w:r>
        <w:rPr>
          <w:rFonts w:hint="eastAsia" w:ascii="宋体" w:hAnsi="宋体" w:cs="宋体"/>
        </w:rPr>
        <w:t>3、完成全部服务内容并提交相关成果文件后 10 个工作日内，支付合同总额的40%。</w:t>
      </w:r>
    </w:p>
    <w:p>
      <w:pPr>
        <w:snapToGrid w:val="0"/>
        <w:spacing w:line="360" w:lineRule="auto"/>
        <w:outlineLvl w:val="1"/>
        <w:rPr>
          <w:rFonts w:ascii="宋体"/>
        </w:rPr>
      </w:pPr>
      <w:r>
        <w:rPr>
          <w:rFonts w:hint="eastAsia" w:ascii="宋体" w:hAnsi="宋体" w:cs="宋体"/>
          <w:b/>
          <w:bCs/>
        </w:rPr>
        <w:t>六、比选有效期：</w:t>
      </w:r>
      <w:r>
        <w:rPr>
          <w:rFonts w:ascii="宋体" w:hAnsi="宋体" w:cs="宋体"/>
          <w:u w:val="single"/>
        </w:rPr>
        <w:t>90</w:t>
      </w:r>
      <w:r>
        <w:rPr>
          <w:rFonts w:hint="eastAsia" w:ascii="宋体" w:hAnsi="宋体" w:cs="宋体"/>
        </w:rPr>
        <w:t>日历天（从提交比选申请文件截止日起计算）</w:t>
      </w:r>
      <w:bookmarkEnd w:id="20"/>
      <w:bookmarkEnd w:id="21"/>
      <w:bookmarkEnd w:id="22"/>
    </w:p>
    <w:p>
      <w:pPr>
        <w:tabs>
          <w:tab w:val="left" w:pos="1080"/>
        </w:tabs>
        <w:spacing w:line="360" w:lineRule="auto"/>
        <w:outlineLvl w:val="1"/>
        <w:rPr>
          <w:rFonts w:ascii="宋体"/>
          <w:b/>
          <w:bCs/>
        </w:rPr>
      </w:pPr>
      <w:bookmarkStart w:id="23" w:name="_Toc120633477"/>
      <w:bookmarkStart w:id="24" w:name="_Toc15441"/>
      <w:bookmarkStart w:id="25" w:name="_Toc17630"/>
      <w:r>
        <w:rPr>
          <w:rFonts w:hint="eastAsia" w:ascii="宋体" w:hAnsi="宋体" w:cs="宋体"/>
          <w:b/>
          <w:bCs/>
        </w:rPr>
        <w:t>七、比选申请文件的组成：</w:t>
      </w:r>
      <w:bookmarkEnd w:id="23"/>
      <w:bookmarkEnd w:id="24"/>
      <w:bookmarkEnd w:id="25"/>
    </w:p>
    <w:p>
      <w:pPr>
        <w:spacing w:line="360" w:lineRule="auto"/>
        <w:ind w:firstLine="420" w:firstLineChars="200"/>
        <w:rPr>
          <w:rFonts w:ascii="宋体"/>
        </w:rPr>
      </w:pPr>
      <w:r>
        <w:rPr>
          <w:rFonts w:hint="eastAsia" w:ascii="宋体" w:hAnsi="宋体" w:cs="宋体"/>
        </w:rPr>
        <w:t>比选申请函；</w:t>
      </w:r>
    </w:p>
    <w:p>
      <w:pPr>
        <w:spacing w:line="360" w:lineRule="auto"/>
        <w:ind w:firstLine="420" w:firstLineChars="200"/>
        <w:rPr>
          <w:rFonts w:ascii="宋体"/>
        </w:rPr>
      </w:pPr>
      <w:r>
        <w:rPr>
          <w:rFonts w:hint="eastAsia" w:ascii="宋体" w:hAnsi="宋体" w:cs="宋体"/>
        </w:rPr>
        <w:t>法定代表人授权书及法定代表人身份证明；</w:t>
      </w:r>
    </w:p>
    <w:p>
      <w:pPr>
        <w:spacing w:line="360" w:lineRule="auto"/>
        <w:ind w:firstLine="420" w:firstLineChars="200"/>
        <w:rPr>
          <w:rFonts w:ascii="宋体"/>
        </w:rPr>
      </w:pPr>
      <w:r>
        <w:rPr>
          <w:rFonts w:hint="eastAsia" w:ascii="宋体" w:hAnsi="宋体" w:cs="宋体"/>
        </w:rPr>
        <w:t>比选文件规定的其它资料。</w:t>
      </w:r>
    </w:p>
    <w:p>
      <w:pPr>
        <w:pStyle w:val="12"/>
        <w:spacing w:line="360" w:lineRule="auto"/>
        <w:ind w:firstLine="420" w:firstLineChars="200"/>
        <w:rPr>
          <w:rFonts w:cs="Times New Roman"/>
          <w:sz w:val="21"/>
          <w:szCs w:val="21"/>
        </w:rPr>
      </w:pPr>
      <w:r>
        <w:rPr>
          <w:rFonts w:hint="eastAsia"/>
          <w:sz w:val="21"/>
          <w:szCs w:val="21"/>
        </w:rPr>
        <w:t>注意：以上资料应提供复印件并加盖单位公章，否则作否决竞选处理。比选申请文件应提交正本1份，副本1份，正副本分别装订成册，并应编制目录、标注页码，装订后放入一大袋，必须保证比选申请文件密封并在大袋上加盖比选申请人单位公章，否则，比选人对由于比选申请文件装订松散而造成的丢失或其他后果不承担任何责任。未按规定密封的比选申请文件将被拒收。</w:t>
      </w:r>
    </w:p>
    <w:p>
      <w:pPr>
        <w:numPr>
          <w:ilvl w:val="0"/>
          <w:numId w:val="2"/>
        </w:numPr>
        <w:spacing w:line="360" w:lineRule="auto"/>
        <w:rPr>
          <w:rFonts w:ascii="宋体" w:hAnsi="宋体" w:cs="宋体"/>
          <w:b/>
          <w:bCs/>
        </w:rPr>
      </w:pPr>
      <w:r>
        <w:rPr>
          <w:rFonts w:hint="eastAsia" w:ascii="宋体" w:hAnsi="宋体" w:cs="宋体"/>
          <w:b/>
          <w:bCs/>
        </w:rPr>
        <w:t>比选原则（综合评估法）：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15"/>
        <w:gridCol w:w="1578"/>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400" w:lineRule="exact"/>
              <w:jc w:val="center"/>
              <w:rPr>
                <w:rFonts w:ascii="宋体" w:hAnsi="宋体" w:cs="宋体"/>
                <w:b/>
                <w:kern w:val="0"/>
              </w:rPr>
            </w:pPr>
            <w:bookmarkStart w:id="26" w:name="CQZH1_07"/>
            <w:r>
              <w:rPr>
                <w:rFonts w:hint="eastAsia" w:ascii="宋体" w:hAnsi="宋体" w:cs="宋体"/>
                <w:b/>
                <w:kern w:val="0"/>
              </w:rPr>
              <w:t>条款号</w:t>
            </w:r>
          </w:p>
        </w:tc>
        <w:tc>
          <w:tcPr>
            <w:tcW w:w="1415" w:type="dxa"/>
            <w:vAlign w:val="center"/>
          </w:tcPr>
          <w:p>
            <w:pPr>
              <w:spacing w:line="400" w:lineRule="exact"/>
              <w:jc w:val="center"/>
              <w:rPr>
                <w:rFonts w:ascii="宋体" w:hAnsi="宋体" w:cs="宋体"/>
                <w:b/>
                <w:kern w:val="0"/>
              </w:rPr>
            </w:pPr>
            <w:r>
              <w:rPr>
                <w:rFonts w:hint="eastAsia" w:ascii="宋体" w:hAnsi="宋体" w:cs="宋体"/>
                <w:b/>
                <w:kern w:val="0"/>
              </w:rPr>
              <w:t>评审因素</w:t>
            </w:r>
          </w:p>
        </w:tc>
        <w:tc>
          <w:tcPr>
            <w:tcW w:w="7229" w:type="dxa"/>
            <w:gridSpan w:val="3"/>
            <w:vAlign w:val="center"/>
          </w:tcPr>
          <w:p>
            <w:pPr>
              <w:spacing w:line="40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20" w:type="dxa"/>
            <w:vMerge w:val="restart"/>
            <w:vAlign w:val="center"/>
          </w:tcPr>
          <w:p>
            <w:pPr>
              <w:spacing w:line="400" w:lineRule="exact"/>
              <w:jc w:val="center"/>
              <w:rPr>
                <w:rFonts w:ascii="宋体" w:hAnsi="宋体" w:cs="宋体"/>
                <w:kern w:val="0"/>
              </w:rPr>
            </w:pPr>
            <w:r>
              <w:rPr>
                <w:rFonts w:hint="eastAsia" w:ascii="宋体" w:hAnsi="宋体" w:cs="宋体"/>
                <w:kern w:val="0"/>
              </w:rPr>
              <w:t>2.1.1</w:t>
            </w:r>
          </w:p>
        </w:tc>
        <w:tc>
          <w:tcPr>
            <w:tcW w:w="1415" w:type="dxa"/>
            <w:vMerge w:val="restart"/>
            <w:textDirection w:val="tbRlV"/>
            <w:vAlign w:val="center"/>
          </w:tcPr>
          <w:p>
            <w:pPr>
              <w:spacing w:line="400" w:lineRule="exact"/>
              <w:ind w:left="113" w:right="113"/>
              <w:jc w:val="center"/>
              <w:rPr>
                <w:rFonts w:ascii="宋体" w:hAnsi="宋体" w:cs="宋体"/>
                <w:kern w:val="0"/>
              </w:rPr>
            </w:pPr>
            <w:r>
              <w:rPr>
                <w:rFonts w:hint="eastAsia" w:ascii="宋体" w:hAnsi="宋体" w:cs="宋体"/>
                <w:kern w:val="0"/>
              </w:rPr>
              <w:t>形式评审标准</w:t>
            </w: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比选申请人名称</w:t>
            </w:r>
          </w:p>
        </w:tc>
        <w:tc>
          <w:tcPr>
            <w:tcW w:w="5476" w:type="dxa"/>
            <w:vAlign w:val="center"/>
          </w:tcPr>
          <w:p>
            <w:pPr>
              <w:spacing w:line="360" w:lineRule="auto"/>
              <w:ind w:firstLine="420" w:firstLineChars="200"/>
              <w:rPr>
                <w:rFonts w:ascii="宋体" w:hAnsi="宋体" w:cs="宋体"/>
                <w:kern w:val="0"/>
              </w:rPr>
            </w:pPr>
            <w:r>
              <w:rPr>
                <w:rFonts w:hint="eastAsia" w:ascii="宋体" w:hAnsi="宋体" w:cs="宋体"/>
                <w:kern w:val="0"/>
              </w:rPr>
              <w:t>与营业执照、资质一致，依法变更名称的应提交相应证明材料。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20" w:type="dxa"/>
            <w:vMerge w:val="continue"/>
          </w:tcPr>
          <w:p>
            <w:pPr>
              <w:spacing w:line="400" w:lineRule="exact"/>
              <w:rPr>
                <w:rFonts w:ascii="宋体" w:hAnsi="宋体" w:cs="宋体"/>
              </w:rPr>
            </w:pPr>
          </w:p>
        </w:tc>
        <w:tc>
          <w:tcPr>
            <w:tcW w:w="1415" w:type="dxa"/>
            <w:vMerge w:val="continue"/>
            <w:vAlign w:val="center"/>
          </w:tcPr>
          <w:p>
            <w:pPr>
              <w:spacing w:line="400" w:lineRule="exact"/>
              <w:jc w:val="center"/>
              <w:rPr>
                <w:rFonts w:ascii="宋体" w:hAnsi="宋体" w:cs="宋体"/>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比选申请文件份数</w:t>
            </w:r>
          </w:p>
        </w:tc>
        <w:tc>
          <w:tcPr>
            <w:tcW w:w="5476" w:type="dxa"/>
            <w:vAlign w:val="center"/>
          </w:tcPr>
          <w:p>
            <w:pPr>
              <w:spacing w:line="360" w:lineRule="auto"/>
              <w:ind w:firstLine="420" w:firstLineChars="200"/>
              <w:rPr>
                <w:rFonts w:ascii="宋体" w:hAnsi="宋体" w:cs="宋体"/>
                <w:kern w:val="0"/>
              </w:rPr>
            </w:pPr>
            <w:r>
              <w:rPr>
                <w:rFonts w:hint="eastAsia" w:ascii="宋体" w:hAnsi="宋体" w:cs="宋体"/>
                <w:kern w:val="0"/>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20" w:type="dxa"/>
            <w:vMerge w:val="continue"/>
          </w:tcPr>
          <w:p>
            <w:pPr>
              <w:spacing w:line="400" w:lineRule="exact"/>
              <w:rPr>
                <w:rFonts w:ascii="宋体" w:hAnsi="宋体" w:cs="宋体"/>
              </w:rPr>
            </w:pPr>
          </w:p>
        </w:tc>
        <w:tc>
          <w:tcPr>
            <w:tcW w:w="1415" w:type="dxa"/>
            <w:vMerge w:val="continue"/>
            <w:vAlign w:val="center"/>
          </w:tcPr>
          <w:p>
            <w:pPr>
              <w:spacing w:line="400" w:lineRule="exact"/>
              <w:jc w:val="center"/>
              <w:rPr>
                <w:rFonts w:ascii="宋体" w:hAnsi="宋体" w:cs="宋体"/>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比选申请文件的组成</w:t>
            </w:r>
          </w:p>
        </w:tc>
        <w:tc>
          <w:tcPr>
            <w:tcW w:w="5476" w:type="dxa"/>
            <w:vAlign w:val="center"/>
          </w:tcPr>
          <w:p>
            <w:pPr>
              <w:spacing w:line="360" w:lineRule="auto"/>
              <w:ind w:firstLine="420" w:firstLineChars="200"/>
              <w:rPr>
                <w:rFonts w:ascii="宋体" w:hAnsi="宋体" w:cs="宋体"/>
                <w:kern w:val="0"/>
              </w:rPr>
            </w:pPr>
            <w:r>
              <w:rPr>
                <w:rFonts w:hint="eastAsia" w:ascii="宋体" w:hAnsi="宋体" w:cs="宋体"/>
                <w:kern w:val="0"/>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pPr>
              <w:spacing w:line="400" w:lineRule="exact"/>
              <w:jc w:val="center"/>
              <w:rPr>
                <w:rFonts w:ascii="宋体" w:hAnsi="宋体" w:cs="宋体"/>
                <w:kern w:val="0"/>
              </w:rPr>
            </w:pPr>
            <w:r>
              <w:rPr>
                <w:rFonts w:hint="eastAsia" w:ascii="宋体" w:hAnsi="宋体" w:cs="宋体"/>
                <w:kern w:val="0"/>
              </w:rPr>
              <w:t>2.1.2</w:t>
            </w:r>
          </w:p>
        </w:tc>
        <w:tc>
          <w:tcPr>
            <w:tcW w:w="1415" w:type="dxa"/>
            <w:vMerge w:val="restart"/>
            <w:textDirection w:val="tbRlV"/>
            <w:vAlign w:val="center"/>
          </w:tcPr>
          <w:p>
            <w:pPr>
              <w:spacing w:line="400" w:lineRule="exact"/>
              <w:ind w:left="113" w:right="113"/>
              <w:jc w:val="center"/>
              <w:rPr>
                <w:rFonts w:ascii="宋体" w:hAnsi="宋体" w:cs="宋体"/>
                <w:kern w:val="0"/>
              </w:rPr>
            </w:pPr>
            <w:r>
              <w:rPr>
                <w:rFonts w:hint="eastAsia" w:ascii="宋体" w:hAnsi="宋体" w:cs="宋体"/>
                <w:kern w:val="0"/>
              </w:rPr>
              <w:t>资格评审标准</w:t>
            </w:r>
          </w:p>
        </w:tc>
        <w:tc>
          <w:tcPr>
            <w:tcW w:w="1753" w:type="dxa"/>
            <w:gridSpan w:val="2"/>
            <w:vAlign w:val="center"/>
          </w:tcPr>
          <w:p>
            <w:pPr>
              <w:spacing w:line="360" w:lineRule="auto"/>
              <w:jc w:val="center"/>
              <w:rPr>
                <w:rFonts w:ascii="宋体" w:hAnsi="宋体" w:cs="宋体"/>
                <w:kern w:val="0"/>
              </w:rPr>
            </w:pPr>
            <w:r>
              <w:rPr>
                <w:rFonts w:hint="eastAsia" w:ascii="宋体" w:hAnsi="宋体" w:cs="宋体"/>
              </w:rPr>
              <w:t>营业执照</w:t>
            </w:r>
          </w:p>
        </w:tc>
        <w:tc>
          <w:tcPr>
            <w:tcW w:w="5476" w:type="dxa"/>
            <w:vAlign w:val="center"/>
          </w:tcPr>
          <w:p>
            <w:pPr>
              <w:spacing w:line="360" w:lineRule="auto"/>
              <w:ind w:firstLine="420" w:firstLineChars="200"/>
              <w:rPr>
                <w:rFonts w:ascii="宋体" w:hAnsi="宋体" w:cs="宋体"/>
                <w:kern w:val="0"/>
              </w:rPr>
            </w:pPr>
            <w:r>
              <w:rPr>
                <w:rFonts w:hint="eastAsia" w:ascii="宋体" w:hAnsi="宋体" w:cs="宋体"/>
                <w:kern w:val="0"/>
              </w:rPr>
              <w:t>符合比选文件第二部分比选须知“比选申请人资格要求”规定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rPr>
              <w:t>承诺</w:t>
            </w:r>
          </w:p>
        </w:tc>
        <w:tc>
          <w:tcPr>
            <w:tcW w:w="5476" w:type="dxa"/>
            <w:vAlign w:val="center"/>
          </w:tcPr>
          <w:p>
            <w:pPr>
              <w:spacing w:line="360" w:lineRule="auto"/>
              <w:ind w:firstLine="420" w:firstLineChars="200"/>
              <w:jc w:val="left"/>
              <w:rPr>
                <w:rFonts w:ascii="宋体" w:hAnsi="宋体" w:cs="宋体"/>
                <w:kern w:val="0"/>
              </w:rPr>
            </w:pPr>
            <w:r>
              <w:rPr>
                <w:rFonts w:hint="eastAsia" w:ascii="宋体" w:hAnsi="宋体" w:cs="宋体"/>
                <w:kern w:val="0"/>
              </w:rPr>
              <w:t>符合比选文件第二部分比选须知“比选申请人资格要求”规定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rPr>
            </w:pPr>
            <w:r>
              <w:rPr>
                <w:rFonts w:hint="eastAsia" w:ascii="宋体" w:hAnsi="宋体" w:cs="宋体"/>
              </w:rPr>
              <w:t>资质要求</w:t>
            </w:r>
          </w:p>
        </w:tc>
        <w:tc>
          <w:tcPr>
            <w:tcW w:w="5476" w:type="dxa"/>
            <w:vAlign w:val="center"/>
          </w:tcPr>
          <w:p>
            <w:pPr>
              <w:spacing w:line="360" w:lineRule="auto"/>
              <w:ind w:firstLine="420" w:firstLineChars="200"/>
              <w:jc w:val="left"/>
              <w:rPr>
                <w:rFonts w:ascii="宋体" w:hAnsi="宋体" w:cs="宋体"/>
                <w:kern w:val="0"/>
              </w:rPr>
            </w:pPr>
            <w:r>
              <w:rPr>
                <w:rFonts w:hint="eastAsia" w:ascii="宋体" w:hAnsi="宋体" w:cs="宋体"/>
                <w:kern w:val="0"/>
              </w:rPr>
              <w:t>符合比选文件第二部分比选须知“比选申请人资格要求”规定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restart"/>
            <w:vAlign w:val="center"/>
          </w:tcPr>
          <w:p>
            <w:pPr>
              <w:spacing w:line="400" w:lineRule="exact"/>
              <w:jc w:val="center"/>
              <w:rPr>
                <w:rFonts w:ascii="宋体" w:hAnsi="宋体" w:cs="宋体"/>
              </w:rPr>
            </w:pPr>
            <w:r>
              <w:rPr>
                <w:rFonts w:hint="eastAsia" w:ascii="宋体" w:hAnsi="宋体" w:cs="宋体"/>
                <w:kern w:val="0"/>
              </w:rPr>
              <w:t>2.1.3</w:t>
            </w:r>
          </w:p>
        </w:tc>
        <w:tc>
          <w:tcPr>
            <w:tcW w:w="1415" w:type="dxa"/>
            <w:vMerge w:val="restart"/>
            <w:textDirection w:val="tbRlV"/>
            <w:vAlign w:val="center"/>
          </w:tcPr>
          <w:p>
            <w:pPr>
              <w:spacing w:line="400" w:lineRule="exact"/>
              <w:ind w:left="113" w:right="113"/>
              <w:jc w:val="center"/>
              <w:rPr>
                <w:rFonts w:ascii="宋体" w:hAnsi="宋体" w:cs="宋体"/>
              </w:rPr>
            </w:pPr>
            <w:r>
              <w:rPr>
                <w:rFonts w:hint="eastAsia" w:ascii="宋体" w:hAnsi="宋体" w:cs="宋体"/>
                <w:kern w:val="0"/>
              </w:rPr>
              <w:t>响应性评审标准</w:t>
            </w: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比选范围</w:t>
            </w:r>
          </w:p>
        </w:tc>
        <w:tc>
          <w:tcPr>
            <w:tcW w:w="5476"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符合比选文件第一部分比选公告第3.1项规定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服务期</w:t>
            </w:r>
          </w:p>
        </w:tc>
        <w:tc>
          <w:tcPr>
            <w:tcW w:w="5476"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符合比选文件第一部分比选公告第4项规定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权利义务</w:t>
            </w:r>
          </w:p>
        </w:tc>
        <w:tc>
          <w:tcPr>
            <w:tcW w:w="5476"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符合</w:t>
            </w:r>
            <w:r>
              <w:rPr>
                <w:rFonts w:hint="eastAsia" w:ascii="宋体" w:cs="宋体"/>
                <w:kern w:val="0"/>
              </w:rPr>
              <w:t>“</w:t>
            </w:r>
            <w:r>
              <w:rPr>
                <w:rFonts w:hint="eastAsia" w:ascii="宋体" w:hAnsi="宋体" w:cs="宋体"/>
                <w:kern w:val="0"/>
              </w:rPr>
              <w:t>合同条款</w:t>
            </w:r>
            <w:r>
              <w:rPr>
                <w:rFonts w:hint="eastAsia" w:ascii="宋体" w:cs="宋体"/>
                <w:kern w:val="0"/>
              </w:rPr>
              <w:t>”</w:t>
            </w:r>
            <w:r>
              <w:rPr>
                <w:rFonts w:hint="eastAsia" w:ascii="宋体" w:hAnsi="宋体" w:cs="宋体"/>
                <w:kern w:val="0"/>
              </w:rPr>
              <w:t>规定，比选申请文件不应附有比选人不能接受的条件。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spacing w:line="400" w:lineRule="exact"/>
              <w:jc w:val="center"/>
              <w:rPr>
                <w:rFonts w:ascii="宋体" w:hAnsi="宋体" w:cs="宋体"/>
              </w:rPr>
            </w:pPr>
          </w:p>
        </w:tc>
        <w:tc>
          <w:tcPr>
            <w:tcW w:w="1415" w:type="dxa"/>
            <w:vMerge w:val="continue"/>
            <w:textDirection w:val="tbRlV"/>
            <w:vAlign w:val="center"/>
          </w:tcPr>
          <w:p>
            <w:pPr>
              <w:spacing w:line="400" w:lineRule="exact"/>
              <w:ind w:left="113" w:right="113"/>
              <w:jc w:val="center"/>
              <w:rPr>
                <w:rFonts w:ascii="宋体" w:hAnsi="宋体" w:cs="宋体"/>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实质性要求</w:t>
            </w:r>
          </w:p>
        </w:tc>
        <w:tc>
          <w:tcPr>
            <w:tcW w:w="5476" w:type="dxa"/>
            <w:vAlign w:val="center"/>
          </w:tcPr>
          <w:p>
            <w:pPr>
              <w:spacing w:after="62" w:afterLines="20" w:line="360" w:lineRule="auto"/>
              <w:ind w:firstLine="420" w:firstLineChars="200"/>
              <w:rPr>
                <w:rFonts w:ascii="宋体"/>
                <w:kern w:val="0"/>
              </w:rPr>
            </w:pPr>
            <w:r>
              <w:rPr>
                <w:rFonts w:hint="eastAsia" w:ascii="宋体" w:hAnsi="宋体" w:cs="宋体"/>
                <w:kern w:val="0"/>
              </w:rPr>
              <w:t>符合比选文件规定。</w:t>
            </w:r>
          </w:p>
          <w:p>
            <w:pPr>
              <w:spacing w:after="62" w:afterLines="20" w:line="360" w:lineRule="auto"/>
              <w:ind w:firstLine="420" w:firstLineChars="200"/>
              <w:rPr>
                <w:rFonts w:ascii="宋体"/>
                <w:kern w:val="0"/>
              </w:rPr>
            </w:pPr>
            <w:r>
              <w:rPr>
                <w:rFonts w:hint="eastAsia" w:ascii="宋体" w:hAnsi="宋体" w:cs="宋体"/>
                <w:kern w:val="0"/>
              </w:rPr>
              <w:t>本次参选不得有串通竞选、弄虚作假等其他违反招竞选相关法律、法规行为。</w:t>
            </w:r>
          </w:p>
          <w:p>
            <w:pPr>
              <w:spacing w:after="62" w:afterLines="20" w:line="360" w:lineRule="auto"/>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比选申请报价</w:t>
            </w:r>
          </w:p>
        </w:tc>
        <w:tc>
          <w:tcPr>
            <w:tcW w:w="5476"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比选申请人的比选申请报价不得超过最高限价。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5" w:type="dxa"/>
            <w:gridSpan w:val="2"/>
            <w:vAlign w:val="center"/>
          </w:tcPr>
          <w:p>
            <w:pPr>
              <w:spacing w:line="400" w:lineRule="exact"/>
              <w:ind w:firstLine="525" w:firstLineChars="250"/>
              <w:rPr>
                <w:rFonts w:ascii="宋体" w:hAnsi="宋体" w:cs="宋体"/>
                <w:kern w:val="0"/>
              </w:rPr>
            </w:pPr>
            <w:r>
              <w:rPr>
                <w:rFonts w:hint="eastAsia" w:ascii="宋体" w:hAnsi="宋体" w:cs="宋体"/>
                <w:kern w:val="0"/>
              </w:rPr>
              <w:t>2.2.1</w:t>
            </w:r>
          </w:p>
        </w:tc>
        <w:tc>
          <w:tcPr>
            <w:tcW w:w="1753" w:type="dxa"/>
            <w:gridSpan w:val="2"/>
            <w:vAlign w:val="center"/>
          </w:tcPr>
          <w:p>
            <w:pPr>
              <w:tabs>
                <w:tab w:val="left" w:pos="1875"/>
              </w:tabs>
              <w:spacing w:line="400" w:lineRule="exact"/>
              <w:jc w:val="center"/>
              <w:rPr>
                <w:rFonts w:ascii="宋体" w:hAnsi="宋体" w:cs="宋体"/>
                <w:kern w:val="0"/>
              </w:rPr>
            </w:pPr>
            <w:r>
              <w:rPr>
                <w:rFonts w:hint="eastAsia" w:ascii="宋体" w:hAnsi="宋体" w:cs="宋体"/>
                <w:kern w:val="0"/>
              </w:rPr>
              <w:t>分值构成</w:t>
            </w:r>
          </w:p>
          <w:p>
            <w:pPr>
              <w:tabs>
                <w:tab w:val="left" w:pos="1875"/>
              </w:tabs>
              <w:spacing w:line="400" w:lineRule="exact"/>
              <w:jc w:val="center"/>
              <w:rPr>
                <w:rFonts w:ascii="宋体" w:hAnsi="宋体" w:cs="宋体"/>
                <w:kern w:val="0"/>
              </w:rPr>
            </w:pPr>
            <w:r>
              <w:rPr>
                <w:rFonts w:hint="eastAsia" w:ascii="宋体" w:hAnsi="宋体" w:cs="宋体"/>
                <w:kern w:val="0"/>
              </w:rPr>
              <w:t>(总分1OO分)</w:t>
            </w:r>
          </w:p>
        </w:tc>
        <w:tc>
          <w:tcPr>
            <w:tcW w:w="5476" w:type="dxa"/>
            <w:vAlign w:val="center"/>
          </w:tcPr>
          <w:p>
            <w:pPr>
              <w:snapToGrid w:val="0"/>
              <w:spacing w:line="400" w:lineRule="exact"/>
              <w:ind w:firstLine="315" w:firstLineChars="150"/>
              <w:rPr>
                <w:rFonts w:ascii="宋体" w:hAnsi="宋体" w:cs="宋体"/>
              </w:rPr>
            </w:pPr>
            <w:r>
              <w:rPr>
                <w:rFonts w:hint="eastAsia" w:ascii="宋体" w:hAnsi="宋体" w:cs="宋体"/>
              </w:rPr>
              <w:t>（1）比选申请报价：</w:t>
            </w:r>
            <w:r>
              <w:rPr>
                <w:rFonts w:hint="eastAsia" w:ascii="宋体" w:hAnsi="宋体" w:cs="宋体"/>
                <w:u w:val="single"/>
              </w:rPr>
              <w:t xml:space="preserve"> </w:t>
            </w:r>
            <w:r>
              <w:rPr>
                <w:rFonts w:ascii="宋体" w:hAnsi="宋体" w:cs="宋体"/>
                <w:u w:val="single"/>
              </w:rPr>
              <w:t>40</w:t>
            </w:r>
            <w:r>
              <w:rPr>
                <w:rFonts w:hint="eastAsia" w:ascii="宋体" w:hAnsi="宋体" w:cs="宋体"/>
                <w:u w:val="single"/>
              </w:rPr>
              <w:t xml:space="preserve"> </w:t>
            </w:r>
            <w:r>
              <w:rPr>
                <w:rFonts w:hint="eastAsia" w:ascii="宋体" w:hAnsi="宋体" w:cs="宋体"/>
              </w:rPr>
              <w:t>分；</w:t>
            </w:r>
          </w:p>
          <w:p>
            <w:pPr>
              <w:snapToGrid w:val="0"/>
              <w:spacing w:line="400" w:lineRule="exact"/>
              <w:ind w:firstLine="315" w:firstLineChars="150"/>
              <w:rPr>
                <w:rFonts w:ascii="宋体" w:hAnsi="宋体" w:cs="宋体"/>
              </w:rPr>
            </w:pPr>
            <w:r>
              <w:rPr>
                <w:rFonts w:hint="eastAsia" w:ascii="宋体" w:hAnsi="宋体" w:cs="宋体"/>
              </w:rPr>
              <w:t>（2）商务部分：</w:t>
            </w:r>
            <w:r>
              <w:rPr>
                <w:rFonts w:hint="eastAsia" w:ascii="宋体" w:hAnsi="宋体" w:cs="宋体"/>
                <w:u w:val="single"/>
              </w:rPr>
              <w:t xml:space="preserve"> </w:t>
            </w:r>
            <w:r>
              <w:rPr>
                <w:rFonts w:ascii="宋体" w:hAnsi="宋体" w:cs="宋体"/>
                <w:u w:val="single"/>
              </w:rPr>
              <w:t>20</w:t>
            </w:r>
            <w:r>
              <w:rPr>
                <w:rFonts w:hint="eastAsia" w:ascii="宋体" w:hAnsi="宋体" w:cs="宋体"/>
                <w:u w:val="single"/>
              </w:rPr>
              <w:t xml:space="preserve"> </w:t>
            </w:r>
            <w:r>
              <w:rPr>
                <w:rFonts w:hint="eastAsia" w:ascii="宋体" w:hAnsi="宋体" w:cs="宋体"/>
              </w:rPr>
              <w:t>分；</w:t>
            </w:r>
          </w:p>
          <w:p>
            <w:pPr>
              <w:snapToGrid w:val="0"/>
              <w:spacing w:line="400" w:lineRule="exact"/>
              <w:ind w:firstLine="315" w:firstLineChars="150"/>
              <w:rPr>
                <w:rFonts w:ascii="宋体" w:hAnsi="宋体" w:cs="宋体"/>
              </w:rPr>
            </w:pPr>
            <w:r>
              <w:rPr>
                <w:rFonts w:hint="eastAsia" w:ascii="宋体" w:hAnsi="宋体" w:cs="宋体"/>
              </w:rPr>
              <w:t>（3）技术部分：</w:t>
            </w:r>
            <w:r>
              <w:rPr>
                <w:rFonts w:hint="eastAsia" w:ascii="宋体" w:hAnsi="宋体" w:cs="宋体"/>
                <w:u w:val="single"/>
              </w:rPr>
              <w:t xml:space="preserve"> </w:t>
            </w:r>
            <w:r>
              <w:rPr>
                <w:rFonts w:ascii="宋体" w:hAnsi="宋体" w:cs="宋体"/>
                <w:u w:val="single"/>
              </w:rPr>
              <w:t>40</w:t>
            </w:r>
            <w:r>
              <w:rPr>
                <w:rFonts w:hint="eastAsia" w:ascii="宋体" w:hAnsi="宋体" w:cs="宋体"/>
                <w:u w:val="single"/>
              </w:rPr>
              <w:t xml:space="preserve"> </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snapToGrid w:val="0"/>
              <w:spacing w:line="400" w:lineRule="exact"/>
              <w:ind w:left="105" w:hanging="105" w:hangingChars="50"/>
              <w:jc w:val="center"/>
              <w:rPr>
                <w:rFonts w:ascii="宋体" w:hAnsi="宋体" w:cs="宋体"/>
                <w:kern w:val="0"/>
              </w:rPr>
            </w:pPr>
            <w:r>
              <w:rPr>
                <w:rFonts w:hint="eastAsia" w:ascii="宋体" w:hAnsi="宋体" w:cs="宋体"/>
                <w:kern w:val="0"/>
              </w:rPr>
              <w:t>2.2.4</w:t>
            </w:r>
          </w:p>
          <w:p>
            <w:pPr>
              <w:spacing w:line="400" w:lineRule="exact"/>
              <w:jc w:val="center"/>
              <w:rPr>
                <w:rFonts w:ascii="宋体" w:hAnsi="宋体" w:cs="宋体"/>
                <w:kern w:val="0"/>
              </w:rPr>
            </w:pPr>
            <w:r>
              <w:rPr>
                <w:rFonts w:hint="eastAsia" w:ascii="宋体" w:hAnsi="宋体" w:cs="宋体"/>
                <w:kern w:val="0"/>
              </w:rPr>
              <w:t>（1）</w:t>
            </w:r>
          </w:p>
        </w:tc>
        <w:tc>
          <w:tcPr>
            <w:tcW w:w="1415" w:type="dxa"/>
            <w:vAlign w:val="center"/>
          </w:tcPr>
          <w:p>
            <w:pPr>
              <w:spacing w:line="400" w:lineRule="exact"/>
              <w:jc w:val="center"/>
              <w:rPr>
                <w:rFonts w:ascii="宋体" w:hAnsi="宋体" w:cs="宋体"/>
                <w:kern w:val="0"/>
              </w:rPr>
            </w:pPr>
            <w:r>
              <w:rPr>
                <w:rFonts w:hint="eastAsia" w:ascii="宋体" w:hAnsi="宋体" w:cs="宋体"/>
                <w:kern w:val="0"/>
              </w:rPr>
              <w:t>比选申请报价</w:t>
            </w:r>
          </w:p>
          <w:p>
            <w:pPr>
              <w:spacing w:line="400" w:lineRule="exact"/>
              <w:jc w:val="center"/>
              <w:rPr>
                <w:rFonts w:ascii="宋体" w:hAnsi="宋体" w:cs="宋体"/>
                <w:kern w:val="0"/>
              </w:rPr>
            </w:pPr>
            <w:r>
              <w:rPr>
                <w:rFonts w:hint="eastAsia" w:ascii="宋体" w:hAnsi="宋体" w:cs="宋体"/>
                <w:kern w:val="0"/>
              </w:rPr>
              <w:t>评分标准   （</w:t>
            </w:r>
            <w:r>
              <w:rPr>
                <w:rFonts w:ascii="宋体" w:hAnsi="宋体" w:cs="宋体"/>
                <w:kern w:val="0"/>
                <w:u w:val="single"/>
              </w:rPr>
              <w:t>40</w:t>
            </w:r>
            <w:r>
              <w:rPr>
                <w:rFonts w:hint="eastAsia" w:ascii="宋体" w:hAnsi="宋体" w:cs="宋体"/>
                <w:kern w:val="0"/>
              </w:rPr>
              <w:t>分）</w:t>
            </w:r>
          </w:p>
        </w:tc>
        <w:tc>
          <w:tcPr>
            <w:tcW w:w="1753" w:type="dxa"/>
            <w:gridSpan w:val="2"/>
            <w:vAlign w:val="center"/>
          </w:tcPr>
          <w:p>
            <w:pPr>
              <w:spacing w:line="400" w:lineRule="exact"/>
              <w:jc w:val="center"/>
              <w:rPr>
                <w:rFonts w:ascii="宋体" w:hAnsi="宋体" w:cs="宋体"/>
                <w:kern w:val="0"/>
              </w:rPr>
            </w:pPr>
          </w:p>
        </w:tc>
        <w:tc>
          <w:tcPr>
            <w:tcW w:w="5476" w:type="dxa"/>
          </w:tcPr>
          <w:p>
            <w:pPr>
              <w:pStyle w:val="15"/>
              <w:numPr>
                <w:ilvl w:val="0"/>
                <w:numId w:val="3"/>
              </w:numPr>
              <w:spacing w:after="0" w:line="400" w:lineRule="exact"/>
              <w:ind w:left="0" w:leftChars="0" w:firstLine="420" w:firstLineChars="200"/>
              <w:rPr>
                <w:rFonts w:ascii="宋体" w:hAnsi="宋体" w:cs="宋体"/>
                <w:kern w:val="0"/>
                <w:sz w:val="21"/>
              </w:rPr>
            </w:pPr>
            <w:r>
              <w:rPr>
                <w:rFonts w:hint="eastAsia" w:ascii="宋体" w:hAnsi="宋体" w:cs="宋体"/>
                <w:kern w:val="0"/>
                <w:sz w:val="21"/>
              </w:rPr>
              <w:t>评审基准价计算方法：所有初步评审合格的比选申请人（比选申请报价高于最高限价的除外）的比选申请报价中去掉六分之一（不能整除的按小数点前整数取整，不足六家报价则不去掉）的最低价和相同家数的最高价后的算术平均值。</w:t>
            </w:r>
          </w:p>
          <w:p>
            <w:pPr>
              <w:pStyle w:val="15"/>
              <w:numPr>
                <w:ilvl w:val="0"/>
                <w:numId w:val="3"/>
              </w:numPr>
              <w:spacing w:after="0" w:line="400" w:lineRule="exact"/>
              <w:ind w:left="0" w:leftChars="0" w:firstLine="420" w:firstLineChars="200"/>
              <w:rPr>
                <w:rFonts w:ascii="宋体" w:hAnsi="宋体" w:cs="宋体"/>
                <w:kern w:val="0"/>
                <w:sz w:val="21"/>
              </w:rPr>
            </w:pPr>
            <w:r>
              <w:rPr>
                <w:rFonts w:hint="eastAsia" w:ascii="宋体" w:hAnsi="宋体" w:cs="宋体"/>
                <w:kern w:val="0"/>
                <w:sz w:val="21"/>
              </w:rPr>
              <w:t>偏差率计算方法：偏差率=（比选申请报价-评审基准价）/评审基准价*100%。</w:t>
            </w:r>
          </w:p>
          <w:p>
            <w:pPr>
              <w:pStyle w:val="15"/>
              <w:spacing w:after="0" w:line="400" w:lineRule="exact"/>
              <w:ind w:left="0" w:leftChars="0" w:firstLine="420" w:firstLineChars="200"/>
              <w:rPr>
                <w:rFonts w:ascii="宋体" w:hAnsi="宋体" w:cs="宋体"/>
                <w:sz w:val="21"/>
              </w:rPr>
            </w:pPr>
            <w:r>
              <w:rPr>
                <w:rFonts w:ascii="宋体" w:hAnsi="宋体" w:cs="宋体"/>
                <w:kern w:val="0"/>
                <w:sz w:val="21"/>
              </w:rPr>
              <w:t>2</w:t>
            </w:r>
            <w:r>
              <w:rPr>
                <w:rFonts w:hint="eastAsia" w:ascii="宋体" w:hAnsi="宋体" w:cs="宋体"/>
                <w:kern w:val="0"/>
                <w:sz w:val="21"/>
              </w:rPr>
              <w:t>、</w:t>
            </w:r>
            <w:r>
              <w:rPr>
                <w:rFonts w:hint="eastAsia" w:ascii="宋体" w:hAnsi="宋体" w:cs="宋体"/>
                <w:sz w:val="21"/>
              </w:rPr>
              <w:t>所有通过初步评审合格竞选人的竞选报价与评审基准价相等得满分，与评审基准价相比，每增加1%在</w:t>
            </w:r>
            <w:r>
              <w:rPr>
                <w:rFonts w:hint="eastAsia" w:ascii="宋体" w:hAnsi="宋体" w:cs="宋体"/>
                <w:sz w:val="21"/>
                <w:u w:val="single"/>
              </w:rPr>
              <w:t>40</w:t>
            </w:r>
            <w:r>
              <w:rPr>
                <w:rFonts w:hint="eastAsia" w:ascii="宋体" w:hAnsi="宋体" w:cs="宋体"/>
                <w:sz w:val="21"/>
              </w:rPr>
              <w:t>分的基础上扣0.</w:t>
            </w:r>
            <w:r>
              <w:rPr>
                <w:rFonts w:ascii="宋体" w:hAnsi="宋体" w:cs="宋体"/>
                <w:sz w:val="21"/>
              </w:rPr>
              <w:t>4</w:t>
            </w:r>
            <w:r>
              <w:rPr>
                <w:rFonts w:hint="eastAsia" w:ascii="宋体" w:hAnsi="宋体" w:cs="宋体"/>
                <w:sz w:val="21"/>
              </w:rPr>
              <w:t>分，每减少1%在</w:t>
            </w:r>
            <w:r>
              <w:rPr>
                <w:rFonts w:hint="eastAsia" w:ascii="宋体" w:hAnsi="宋体" w:cs="宋体"/>
                <w:sz w:val="21"/>
                <w:u w:val="single"/>
              </w:rPr>
              <w:t>40</w:t>
            </w:r>
            <w:r>
              <w:rPr>
                <w:rFonts w:hint="eastAsia" w:ascii="宋体" w:hAnsi="宋体" w:cs="宋体"/>
                <w:sz w:val="21"/>
              </w:rPr>
              <w:t>分的基础上扣0.</w:t>
            </w:r>
            <w:r>
              <w:rPr>
                <w:rFonts w:ascii="宋体" w:hAnsi="宋体" w:cs="宋体"/>
                <w:sz w:val="21"/>
              </w:rPr>
              <w:t>2</w:t>
            </w:r>
            <w:r>
              <w:rPr>
                <w:rFonts w:hint="eastAsia" w:ascii="宋体" w:hAnsi="宋体" w:cs="宋体"/>
                <w:sz w:val="21"/>
              </w:rPr>
              <w:t>分，扣完为止。</w:t>
            </w:r>
          </w:p>
          <w:p>
            <w:pPr>
              <w:pStyle w:val="15"/>
              <w:spacing w:after="0" w:line="400" w:lineRule="exact"/>
              <w:ind w:left="0" w:leftChars="0" w:firstLine="420" w:firstLineChars="200"/>
              <w:rPr>
                <w:rFonts w:ascii="宋体" w:hAnsi="宋体" w:cs="宋体"/>
                <w:kern w:val="0"/>
                <w:sz w:val="21"/>
              </w:rPr>
            </w:pPr>
            <w:r>
              <w:rPr>
                <w:rFonts w:hint="eastAsia" w:ascii="宋体" w:hAnsi="宋体" w:cs="宋体"/>
                <w:sz w:val="21"/>
              </w:rPr>
              <w:t>（按插入法计算得分；以上计算取小数点后两位，第三位四舍五入）</w:t>
            </w:r>
            <w:r>
              <w:rPr>
                <w:rFonts w:hint="eastAsia" w:ascii="宋体" w:hAnsi="宋体" w:cs="宋体"/>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820" w:type="dxa"/>
            <w:vMerge w:val="restart"/>
            <w:vAlign w:val="center"/>
          </w:tcPr>
          <w:p>
            <w:pPr>
              <w:snapToGrid w:val="0"/>
              <w:spacing w:line="400" w:lineRule="exact"/>
              <w:ind w:left="105" w:hanging="105" w:hangingChars="50"/>
              <w:jc w:val="center"/>
              <w:rPr>
                <w:rFonts w:ascii="宋体" w:hAnsi="宋体" w:cs="宋体"/>
                <w:kern w:val="0"/>
              </w:rPr>
            </w:pPr>
            <w:r>
              <w:rPr>
                <w:rFonts w:hint="eastAsia" w:ascii="宋体" w:hAnsi="宋体" w:cs="宋体"/>
                <w:kern w:val="0"/>
              </w:rPr>
              <w:t>2.2.4（2）</w:t>
            </w:r>
          </w:p>
        </w:tc>
        <w:tc>
          <w:tcPr>
            <w:tcW w:w="1415" w:type="dxa"/>
            <w:vMerge w:val="restart"/>
            <w:vAlign w:val="center"/>
          </w:tcPr>
          <w:p>
            <w:pPr>
              <w:snapToGrid w:val="0"/>
              <w:spacing w:line="400" w:lineRule="exact"/>
              <w:jc w:val="center"/>
              <w:rPr>
                <w:rFonts w:ascii="宋体" w:hAnsi="宋体" w:cs="宋体"/>
                <w:kern w:val="0"/>
              </w:rPr>
            </w:pPr>
            <w:r>
              <w:rPr>
                <w:rFonts w:hint="eastAsia" w:ascii="宋体" w:hAnsi="宋体" w:cs="宋体"/>
                <w:kern w:val="0"/>
              </w:rPr>
              <w:t>商务部分</w:t>
            </w:r>
          </w:p>
          <w:p>
            <w:pPr>
              <w:snapToGrid w:val="0"/>
              <w:spacing w:line="400" w:lineRule="exact"/>
              <w:jc w:val="center"/>
              <w:rPr>
                <w:rFonts w:ascii="宋体" w:hAnsi="宋体" w:cs="宋体"/>
                <w:kern w:val="0"/>
              </w:rPr>
            </w:pPr>
            <w:r>
              <w:rPr>
                <w:rFonts w:hint="eastAsia" w:ascii="宋体" w:hAnsi="宋体" w:cs="宋体"/>
                <w:kern w:val="0"/>
              </w:rPr>
              <w:t>评分标准</w:t>
            </w:r>
          </w:p>
          <w:p>
            <w:pPr>
              <w:snapToGrid w:val="0"/>
              <w:spacing w:line="400" w:lineRule="exact"/>
              <w:jc w:val="center"/>
              <w:rPr>
                <w:rFonts w:ascii="宋体" w:hAnsi="宋体" w:cs="宋体"/>
                <w:kern w:val="0"/>
              </w:rPr>
            </w:pPr>
            <w:r>
              <w:rPr>
                <w:rFonts w:hint="eastAsia" w:ascii="宋体" w:hAnsi="宋体" w:cs="宋体"/>
                <w:kern w:val="0"/>
              </w:rPr>
              <w:t>（</w:t>
            </w:r>
            <w:r>
              <w:rPr>
                <w:rFonts w:ascii="宋体" w:hAnsi="宋体" w:cs="宋体"/>
                <w:kern w:val="0"/>
                <w:u w:val="single"/>
              </w:rPr>
              <w:t>20</w:t>
            </w:r>
            <w:r>
              <w:rPr>
                <w:rFonts w:hint="eastAsia" w:ascii="宋体" w:hAnsi="宋体" w:cs="宋体"/>
                <w:kern w:val="0"/>
              </w:rPr>
              <w:t>分）</w:t>
            </w:r>
          </w:p>
        </w:tc>
        <w:tc>
          <w:tcPr>
            <w:tcW w:w="1753" w:type="dxa"/>
            <w:gridSpan w:val="2"/>
            <w:vAlign w:val="center"/>
          </w:tcPr>
          <w:p>
            <w:pPr>
              <w:tabs>
                <w:tab w:val="left" w:pos="2300"/>
              </w:tabs>
              <w:snapToGrid w:val="0"/>
              <w:spacing w:line="360" w:lineRule="auto"/>
              <w:rPr>
                <w:rFonts w:ascii="宋体" w:hAnsi="宋体" w:cs="宋体"/>
                <w:kern w:val="0"/>
              </w:rPr>
            </w:pPr>
            <w:r>
              <w:rPr>
                <w:rFonts w:hint="eastAsia" w:ascii="宋体" w:hAnsi="宋体" w:cs="宋体"/>
                <w:color w:val="000000"/>
                <w:kern w:val="0"/>
                <w:lang w:bidi="ar"/>
              </w:rPr>
              <w:t>企业实力（1</w:t>
            </w:r>
            <w:r>
              <w:rPr>
                <w:rFonts w:ascii="宋体" w:hAnsi="宋体" w:cs="宋体"/>
                <w:color w:val="000000"/>
                <w:kern w:val="0"/>
                <w:lang w:bidi="ar"/>
              </w:rPr>
              <w:t>0</w:t>
            </w:r>
            <w:r>
              <w:rPr>
                <w:rFonts w:hint="eastAsia" w:ascii="宋体" w:hAnsi="宋体" w:cs="宋体"/>
                <w:color w:val="000000"/>
                <w:kern w:val="0"/>
                <w:lang w:bidi="ar"/>
              </w:rPr>
              <w:t>分）</w:t>
            </w:r>
          </w:p>
        </w:tc>
        <w:tc>
          <w:tcPr>
            <w:tcW w:w="5476" w:type="dxa"/>
            <w:vAlign w:val="center"/>
          </w:tcPr>
          <w:p>
            <w:pPr>
              <w:snapToGrid w:val="0"/>
              <w:spacing w:before="156" w:beforeLines="50" w:line="360" w:lineRule="auto"/>
              <w:rPr>
                <w:rFonts w:ascii="宋体" w:hAnsi="宋体" w:cs="宋体"/>
                <w:color w:val="000000"/>
                <w:kern w:val="0"/>
                <w:lang w:bidi="ar"/>
              </w:rPr>
            </w:pPr>
            <w:r>
              <w:rPr>
                <w:rFonts w:hint="eastAsia" w:ascii="宋体" w:hAnsi="宋体" w:cs="宋体"/>
                <w:color w:val="000000"/>
                <w:kern w:val="0"/>
                <w:lang w:bidi="ar"/>
              </w:rPr>
              <w:t>1.比选申请人具有中国合格评定国家认可委员会实验室认可证书（CNAS）和检验监测机构资质认定证书（CMA）的得4分，具备任意一个的得2分；（提供证明材料复印件并加盖比选申请人公章）</w:t>
            </w:r>
          </w:p>
          <w:p>
            <w:pPr>
              <w:snapToGrid w:val="0"/>
              <w:spacing w:before="156" w:beforeLines="50" w:line="360" w:lineRule="auto"/>
              <w:rPr>
                <w:rFonts w:ascii="宋体" w:hAnsi="宋体" w:cs="宋体"/>
                <w:b/>
              </w:rPr>
            </w:pPr>
            <w:r>
              <w:rPr>
                <w:rFonts w:ascii="宋体" w:hAnsi="宋体" w:cs="宋体"/>
                <w:color w:val="000000"/>
                <w:kern w:val="0"/>
                <w:lang w:bidi="ar"/>
              </w:rPr>
              <w:t>2</w:t>
            </w:r>
            <w:r>
              <w:rPr>
                <w:rFonts w:hint="eastAsia" w:ascii="宋体" w:hAnsi="宋体" w:cs="宋体"/>
                <w:color w:val="000000"/>
                <w:kern w:val="0"/>
                <w:lang w:bidi="ar"/>
              </w:rPr>
              <w:t>.比选申请人是省级（直辖市）政府主管部门网络信息安全或者数据安全等技术服务机构的，每有一项得</w:t>
            </w:r>
            <w:r>
              <w:rPr>
                <w:rFonts w:ascii="宋体" w:hAnsi="宋体" w:cs="宋体"/>
                <w:color w:val="000000"/>
                <w:kern w:val="0"/>
                <w:lang w:bidi="ar"/>
              </w:rPr>
              <w:t>2</w:t>
            </w:r>
            <w:r>
              <w:rPr>
                <w:rFonts w:hint="eastAsia" w:ascii="宋体" w:hAnsi="宋体" w:cs="宋体"/>
                <w:color w:val="000000"/>
                <w:kern w:val="0"/>
                <w:lang w:bidi="ar"/>
              </w:rPr>
              <w:t>分，最多得</w:t>
            </w:r>
            <w:r>
              <w:rPr>
                <w:rFonts w:ascii="宋体" w:hAnsi="宋体" w:cs="宋体"/>
                <w:color w:val="000000"/>
                <w:kern w:val="0"/>
                <w:lang w:bidi="ar"/>
              </w:rPr>
              <w:t>6</w:t>
            </w:r>
            <w:r>
              <w:rPr>
                <w:rFonts w:hint="eastAsia" w:ascii="宋体" w:hAnsi="宋体" w:cs="宋体"/>
                <w:color w:val="000000"/>
                <w:kern w:val="0"/>
                <w:lang w:bidi="ar"/>
              </w:rPr>
              <w:t>分。（提供证明材料复印件并加盖比选申请人公章）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20" w:type="dxa"/>
            <w:vMerge w:val="continue"/>
            <w:vAlign w:val="center"/>
          </w:tcPr>
          <w:p>
            <w:pPr>
              <w:snapToGrid w:val="0"/>
              <w:spacing w:line="400" w:lineRule="exact"/>
              <w:ind w:left="105" w:hanging="105" w:hangingChars="50"/>
              <w:jc w:val="center"/>
              <w:rPr>
                <w:rFonts w:ascii="宋体" w:hAnsi="宋体" w:cs="宋体"/>
                <w:kern w:val="0"/>
              </w:rPr>
            </w:pPr>
          </w:p>
        </w:tc>
        <w:tc>
          <w:tcPr>
            <w:tcW w:w="1415" w:type="dxa"/>
            <w:vMerge w:val="continue"/>
            <w:vAlign w:val="center"/>
          </w:tcPr>
          <w:p>
            <w:pPr>
              <w:snapToGrid w:val="0"/>
              <w:spacing w:line="400" w:lineRule="exact"/>
              <w:jc w:val="center"/>
              <w:rPr>
                <w:rFonts w:ascii="宋体" w:hAnsi="宋体" w:cs="宋体"/>
                <w:kern w:val="0"/>
              </w:rPr>
            </w:pPr>
          </w:p>
        </w:tc>
        <w:tc>
          <w:tcPr>
            <w:tcW w:w="1753" w:type="dxa"/>
            <w:gridSpan w:val="2"/>
            <w:vAlign w:val="center"/>
          </w:tcPr>
          <w:p>
            <w:pPr>
              <w:snapToGrid w:val="0"/>
              <w:spacing w:line="400" w:lineRule="exact"/>
              <w:rPr>
                <w:rFonts w:ascii="宋体" w:hAnsi="宋体" w:cs="宋体"/>
                <w:kern w:val="0"/>
              </w:rPr>
            </w:pPr>
            <w:r>
              <w:rPr>
                <w:rFonts w:hint="eastAsia" w:ascii="宋体" w:hAnsi="宋体" w:cs="宋体"/>
                <w:color w:val="000000"/>
              </w:rPr>
              <w:t>同类项目业绩（1</w:t>
            </w:r>
            <w:r>
              <w:rPr>
                <w:rFonts w:ascii="宋体" w:hAnsi="宋体" w:cs="宋体"/>
                <w:color w:val="000000"/>
              </w:rPr>
              <w:t>0</w:t>
            </w:r>
            <w:r>
              <w:rPr>
                <w:rFonts w:hint="eastAsia" w:ascii="宋体" w:hAnsi="宋体" w:cs="宋体"/>
                <w:color w:val="000000"/>
              </w:rPr>
              <w:t>分）</w:t>
            </w:r>
          </w:p>
        </w:tc>
        <w:tc>
          <w:tcPr>
            <w:tcW w:w="5476" w:type="dxa"/>
            <w:vAlign w:val="center"/>
          </w:tcPr>
          <w:p>
            <w:pPr>
              <w:tabs>
                <w:tab w:val="left" w:pos="2300"/>
              </w:tabs>
              <w:snapToGrid w:val="0"/>
              <w:spacing w:line="400" w:lineRule="exact"/>
              <w:rPr>
                <w:rFonts w:ascii="宋体" w:hAnsi="宋体" w:cs="宋体"/>
              </w:rPr>
            </w:pPr>
            <w:r>
              <w:rPr>
                <w:rFonts w:hint="eastAsia" w:ascii="宋体" w:hAnsi="宋体" w:cs="宋体"/>
                <w:color w:val="000000"/>
                <w:kern w:val="0"/>
                <w:lang w:bidi="ar"/>
              </w:rPr>
              <w:t>1.比选申请人202</w:t>
            </w:r>
            <w:r>
              <w:rPr>
                <w:rFonts w:ascii="宋体" w:hAnsi="宋体" w:cs="宋体"/>
                <w:color w:val="000000"/>
                <w:kern w:val="0"/>
                <w:lang w:bidi="ar"/>
              </w:rPr>
              <w:t>3</w:t>
            </w:r>
            <w:r>
              <w:rPr>
                <w:rFonts w:hint="eastAsia" w:ascii="宋体" w:hAnsi="宋体" w:cs="宋体"/>
                <w:color w:val="000000"/>
                <w:kern w:val="0"/>
                <w:lang w:bidi="ar"/>
              </w:rPr>
              <w:t>年1月1日至递交比选申请文件截止时间，具有支撑网络安全、信息安全或数据安全或个人信息保护等省级（直辖市）政府主管部门开展安全检测案例的，每提供1个业绩得2分，本项最多得6分；（提供项目任务书或中选通知书或合同等证明材料复印件，加盖比选申请人公章（若提供的是合同，至少应提供：合同首页、金额页、合同标的页、签章页））</w:t>
            </w:r>
            <w:r>
              <w:rPr>
                <w:rFonts w:hint="eastAsia" w:ascii="宋体" w:hAnsi="宋体" w:cs="宋体"/>
                <w:color w:val="000000"/>
                <w:kern w:val="0"/>
                <w:lang w:bidi="ar"/>
              </w:rPr>
              <w:br w:type="textWrapping"/>
            </w:r>
            <w:r>
              <w:rPr>
                <w:rFonts w:hint="eastAsia" w:ascii="宋体" w:hAnsi="宋体" w:cs="宋体"/>
                <w:color w:val="000000"/>
                <w:kern w:val="0"/>
                <w:lang w:bidi="ar"/>
              </w:rPr>
              <w:t>2.比选申请人</w:t>
            </w:r>
            <w:r>
              <w:rPr>
                <w:rFonts w:ascii="宋体" w:hAnsi="宋体" w:cs="宋体"/>
                <w:color w:val="000000"/>
                <w:kern w:val="0"/>
                <w:lang w:bidi="ar"/>
              </w:rPr>
              <w:t>2023</w:t>
            </w:r>
            <w:r>
              <w:rPr>
                <w:rFonts w:hint="eastAsia" w:ascii="宋体" w:hAnsi="宋体" w:cs="宋体"/>
                <w:color w:val="000000"/>
                <w:kern w:val="0"/>
                <w:lang w:bidi="ar"/>
              </w:rPr>
              <w:t>年</w:t>
            </w:r>
            <w:r>
              <w:rPr>
                <w:rFonts w:ascii="宋体" w:hAnsi="宋体" w:cs="宋体"/>
                <w:color w:val="000000"/>
                <w:kern w:val="0"/>
                <w:lang w:bidi="ar"/>
              </w:rPr>
              <w:t>1月1日至递交比选申请文件截止时间，具有信息系统网络安全相关测试评估或网络安全技术服务案例且合同金额大于50</w:t>
            </w:r>
            <w:r>
              <w:rPr>
                <w:rFonts w:hint="eastAsia" w:ascii="宋体" w:hAnsi="宋体" w:cs="宋体"/>
                <w:color w:val="000000"/>
                <w:kern w:val="0"/>
                <w:lang w:bidi="ar"/>
              </w:rPr>
              <w:t>万的，每提供一份得1分，最高得4分。（提供中选通知书或合同，并加盖比选申请人公章。若提供的是合同，至少应提供合同首页、金额页、合同标的页、签章页并加盖比选申请人公章）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restart"/>
            <w:vAlign w:val="center"/>
          </w:tcPr>
          <w:p>
            <w:pPr>
              <w:snapToGrid w:val="0"/>
              <w:spacing w:line="400" w:lineRule="exact"/>
              <w:jc w:val="center"/>
              <w:rPr>
                <w:rFonts w:ascii="宋体" w:hAnsi="宋体" w:cs="宋体"/>
                <w:kern w:val="0"/>
              </w:rPr>
            </w:pPr>
            <w:r>
              <w:rPr>
                <w:rFonts w:hint="eastAsia" w:ascii="宋体" w:hAnsi="宋体" w:cs="宋体"/>
                <w:kern w:val="0"/>
              </w:rPr>
              <w:t>2.2.4</w:t>
            </w:r>
          </w:p>
          <w:p>
            <w:pPr>
              <w:snapToGrid w:val="0"/>
              <w:spacing w:line="400" w:lineRule="exact"/>
              <w:jc w:val="center"/>
              <w:rPr>
                <w:rFonts w:ascii="宋体" w:hAnsi="宋体" w:cs="宋体"/>
                <w:kern w:val="0"/>
              </w:rPr>
            </w:pPr>
            <w:r>
              <w:rPr>
                <w:rFonts w:hint="eastAsia" w:ascii="宋体" w:hAnsi="宋体" w:cs="宋体"/>
                <w:kern w:val="0"/>
              </w:rPr>
              <w:t>（3）</w:t>
            </w:r>
          </w:p>
        </w:tc>
        <w:tc>
          <w:tcPr>
            <w:tcW w:w="1415" w:type="dxa"/>
            <w:vMerge w:val="restart"/>
            <w:vAlign w:val="center"/>
          </w:tcPr>
          <w:p>
            <w:pPr>
              <w:snapToGrid w:val="0"/>
              <w:spacing w:line="400" w:lineRule="exact"/>
              <w:jc w:val="center"/>
              <w:rPr>
                <w:rFonts w:ascii="宋体" w:hAnsi="宋体" w:cs="宋体"/>
                <w:kern w:val="0"/>
              </w:rPr>
            </w:pPr>
            <w:r>
              <w:rPr>
                <w:rFonts w:hint="eastAsia" w:ascii="宋体" w:hAnsi="宋体" w:cs="宋体"/>
                <w:kern w:val="0"/>
              </w:rPr>
              <w:t>技术部分</w:t>
            </w:r>
          </w:p>
          <w:p>
            <w:pPr>
              <w:snapToGrid w:val="0"/>
              <w:spacing w:line="400" w:lineRule="exact"/>
              <w:jc w:val="center"/>
              <w:rPr>
                <w:rFonts w:ascii="宋体" w:hAnsi="宋体" w:cs="宋体"/>
                <w:kern w:val="0"/>
              </w:rPr>
            </w:pPr>
            <w:r>
              <w:rPr>
                <w:rFonts w:hint="eastAsia" w:ascii="宋体" w:hAnsi="宋体" w:cs="宋体"/>
                <w:kern w:val="0"/>
              </w:rPr>
              <w:t>评分标准</w:t>
            </w:r>
          </w:p>
          <w:p>
            <w:pPr>
              <w:pStyle w:val="38"/>
              <w:rPr>
                <w:rFonts w:ascii="宋体" w:hAnsi="宋体" w:cs="宋体"/>
                <w:sz w:val="21"/>
                <w:szCs w:val="21"/>
                <w:u w:val="none"/>
                <w:lang w:eastAsia="zh-CN"/>
              </w:rPr>
            </w:pPr>
            <w:r>
              <w:rPr>
                <w:rFonts w:hint="eastAsia" w:ascii="宋体" w:hAnsi="宋体" w:cs="宋体"/>
                <w:sz w:val="21"/>
                <w:szCs w:val="21"/>
                <w:u w:val="none"/>
                <w:lang w:eastAsia="zh-CN"/>
              </w:rPr>
              <w:t>（</w:t>
            </w:r>
            <w:r>
              <w:rPr>
                <w:rFonts w:ascii="宋体" w:hAnsi="宋体" w:cs="宋体"/>
                <w:sz w:val="21"/>
                <w:szCs w:val="21"/>
                <w:lang w:eastAsia="zh-CN"/>
              </w:rPr>
              <w:t>40</w:t>
            </w:r>
            <w:r>
              <w:rPr>
                <w:rFonts w:hint="eastAsia" w:ascii="宋体" w:hAnsi="宋体" w:cs="宋体"/>
                <w:sz w:val="21"/>
                <w:szCs w:val="21"/>
                <w:u w:val="none"/>
                <w:lang w:eastAsia="zh-CN"/>
              </w:rPr>
              <w:t>分）</w:t>
            </w:r>
          </w:p>
        </w:tc>
        <w:tc>
          <w:tcPr>
            <w:tcW w:w="1753" w:type="dxa"/>
            <w:gridSpan w:val="2"/>
            <w:vAlign w:val="center"/>
          </w:tcPr>
          <w:p>
            <w:pPr>
              <w:snapToGrid w:val="0"/>
              <w:spacing w:line="400" w:lineRule="exact"/>
              <w:rPr>
                <w:rFonts w:ascii="宋体" w:hAnsi="宋体" w:cs="宋体"/>
              </w:rPr>
            </w:pPr>
            <w:r>
              <w:rPr>
                <w:rFonts w:hint="eastAsia" w:ascii="宋体" w:hAnsi="宋体" w:cs="宋体"/>
                <w:color w:val="000000"/>
                <w:kern w:val="0"/>
                <w:lang w:bidi="ar"/>
              </w:rPr>
              <w:t>技术条款（1</w:t>
            </w:r>
            <w:r>
              <w:rPr>
                <w:rFonts w:ascii="宋体" w:hAnsi="宋体" w:cs="宋体"/>
                <w:color w:val="000000"/>
                <w:kern w:val="0"/>
                <w:lang w:bidi="ar"/>
              </w:rPr>
              <w:t>0</w:t>
            </w:r>
            <w:r>
              <w:rPr>
                <w:rFonts w:hint="eastAsia" w:ascii="宋体" w:hAnsi="宋体" w:cs="宋体"/>
                <w:color w:val="000000"/>
                <w:kern w:val="0"/>
                <w:lang w:bidi="ar"/>
              </w:rPr>
              <w:t>分）</w:t>
            </w:r>
          </w:p>
        </w:tc>
        <w:tc>
          <w:tcPr>
            <w:tcW w:w="5476" w:type="dxa"/>
            <w:vAlign w:val="center"/>
          </w:tcPr>
          <w:p>
            <w:pPr>
              <w:rPr>
                <w:rFonts w:ascii="宋体" w:hAnsi="宋体"/>
                <w:color w:val="000000"/>
              </w:rPr>
            </w:pPr>
            <w:r>
              <w:rPr>
                <w:rFonts w:hint="eastAsia" w:ascii="宋体" w:hAnsi="宋体"/>
                <w:color w:val="000000"/>
              </w:rPr>
              <w:t>1.起评分：有效比选申请人的起评分为</w:t>
            </w:r>
            <w:r>
              <w:rPr>
                <w:rFonts w:ascii="宋体" w:hAnsi="宋体"/>
                <w:color w:val="000000"/>
              </w:rPr>
              <w:t>1</w:t>
            </w:r>
            <w:r>
              <w:rPr>
                <w:rFonts w:hint="eastAsia" w:ascii="宋体" w:hAnsi="宋体"/>
                <w:color w:val="000000"/>
              </w:rPr>
              <w:t>0分。</w:t>
            </w:r>
          </w:p>
          <w:p>
            <w:pPr>
              <w:rPr>
                <w:rFonts w:ascii="宋体" w:hAnsi="宋体"/>
                <w:color w:val="000000"/>
              </w:rPr>
            </w:pPr>
            <w:r>
              <w:rPr>
                <w:rFonts w:hint="eastAsia" w:ascii="宋体" w:hAnsi="宋体"/>
                <w:color w:val="000000"/>
              </w:rPr>
              <w:t>2.扣分条款：比选申请文件服务需求响应偏离表中有一条不满足比选文件重要服务需求（本比选文件第一部分3.1、比选范围及内容中带“★”号标注的部分），从起评分中扣除</w:t>
            </w:r>
            <w:r>
              <w:rPr>
                <w:rFonts w:ascii="宋体" w:hAnsi="宋体"/>
                <w:color w:val="000000"/>
              </w:rPr>
              <w:t>5</w:t>
            </w:r>
            <w:r>
              <w:rPr>
                <w:rFonts w:hint="eastAsia" w:ascii="宋体" w:hAnsi="宋体"/>
                <w:color w:val="000000"/>
              </w:rPr>
              <w:t>分，有</w:t>
            </w:r>
            <w:r>
              <w:rPr>
                <w:rFonts w:ascii="宋体" w:hAnsi="宋体"/>
                <w:color w:val="000000"/>
              </w:rPr>
              <w:t>2</w:t>
            </w:r>
            <w:r>
              <w:rPr>
                <w:rFonts w:hint="eastAsia" w:ascii="宋体" w:hAnsi="宋体"/>
                <w:color w:val="000000"/>
              </w:rPr>
              <w:t>条及以上不满足的，</w:t>
            </w:r>
            <w:r>
              <w:rPr>
                <w:rFonts w:hint="eastAsia" w:ascii="宋体" w:hAnsi="宋体"/>
                <w:color w:val="000000"/>
                <w:lang w:eastAsia="zh-Hans"/>
              </w:rPr>
              <w:t>该项得</w:t>
            </w:r>
            <w:r>
              <w:rPr>
                <w:rFonts w:ascii="宋体" w:hAnsi="宋体"/>
                <w:color w:val="000000"/>
                <w:lang w:eastAsia="zh-Hans"/>
              </w:rPr>
              <w:t>0</w:t>
            </w:r>
            <w:r>
              <w:rPr>
                <w:rFonts w:hint="eastAsia" w:ascii="宋体" w:hAnsi="宋体"/>
                <w:color w:val="000000"/>
                <w:lang w:eastAsia="zh-Hans"/>
              </w:rPr>
              <w:t>分</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vAlign w:val="center"/>
          </w:tcPr>
          <w:p>
            <w:pPr>
              <w:snapToGrid w:val="0"/>
              <w:spacing w:line="400" w:lineRule="exact"/>
              <w:jc w:val="center"/>
              <w:rPr>
                <w:rFonts w:ascii="宋体" w:hAnsi="宋体" w:cs="宋体"/>
                <w:kern w:val="0"/>
              </w:rPr>
            </w:pPr>
          </w:p>
        </w:tc>
        <w:tc>
          <w:tcPr>
            <w:tcW w:w="1415" w:type="dxa"/>
            <w:vMerge w:val="continue"/>
            <w:vAlign w:val="center"/>
          </w:tcPr>
          <w:p>
            <w:pPr>
              <w:pStyle w:val="38"/>
              <w:rPr>
                <w:rFonts w:ascii="宋体" w:hAnsi="宋体" w:cs="宋体"/>
                <w:sz w:val="21"/>
                <w:szCs w:val="21"/>
                <w:u w:val="none"/>
                <w:lang w:eastAsia="zh-CN"/>
              </w:rPr>
            </w:pPr>
          </w:p>
        </w:tc>
        <w:tc>
          <w:tcPr>
            <w:tcW w:w="1753" w:type="dxa"/>
            <w:gridSpan w:val="2"/>
            <w:vAlign w:val="center"/>
          </w:tcPr>
          <w:p>
            <w:pPr>
              <w:snapToGrid w:val="0"/>
              <w:spacing w:line="400" w:lineRule="exact"/>
              <w:jc w:val="center"/>
              <w:rPr>
                <w:rFonts w:ascii="宋体" w:hAnsi="宋体" w:cs="宋体"/>
              </w:rPr>
            </w:pPr>
            <w:r>
              <w:rPr>
                <w:rFonts w:hint="eastAsia" w:ascii="宋体" w:hAnsi="宋体" w:cs="宋体"/>
                <w:color w:val="000000"/>
              </w:rPr>
              <w:t>整体方案（1</w:t>
            </w:r>
            <w:r>
              <w:rPr>
                <w:rFonts w:ascii="宋体" w:hAnsi="宋体" w:cs="宋体"/>
                <w:color w:val="000000"/>
              </w:rPr>
              <w:t>5</w:t>
            </w:r>
            <w:r>
              <w:rPr>
                <w:rFonts w:hint="eastAsia" w:ascii="宋体" w:hAnsi="宋体" w:cs="宋体"/>
                <w:color w:val="000000"/>
              </w:rPr>
              <w:t>分）</w:t>
            </w:r>
          </w:p>
        </w:tc>
        <w:tc>
          <w:tcPr>
            <w:tcW w:w="5476" w:type="dxa"/>
          </w:tcPr>
          <w:p>
            <w:pPr>
              <w:tabs>
                <w:tab w:val="left" w:pos="2300"/>
              </w:tabs>
              <w:snapToGrid w:val="0"/>
              <w:spacing w:line="400" w:lineRule="exact"/>
              <w:rPr>
                <w:rFonts w:ascii="宋体" w:hAnsi="宋体" w:cs="宋体"/>
              </w:rPr>
            </w:pPr>
            <w:r>
              <w:rPr>
                <w:rFonts w:hint="eastAsia" w:ascii="宋体" w:hAnsi="宋体" w:cs="宋体"/>
                <w:color w:val="000000"/>
                <w:kern w:val="0"/>
                <w:lang w:bidi="ar"/>
              </w:rPr>
              <w:t>根据比选申请人提供的服务及现场实施方案、服务质量保障方案的完善性、合理性、针对性进行评分。</w:t>
            </w:r>
            <w:r>
              <w:rPr>
                <w:rFonts w:hint="eastAsia" w:ascii="宋体" w:hAnsi="宋体"/>
              </w:rPr>
              <w:t>优得10</w:t>
            </w:r>
            <w:r>
              <w:rPr>
                <w:rFonts w:ascii="宋体" w:hAnsi="宋体"/>
              </w:rPr>
              <w:t>-</w:t>
            </w:r>
            <w:r>
              <w:rPr>
                <w:rFonts w:hint="eastAsia" w:ascii="宋体" w:hAnsi="宋体"/>
              </w:rPr>
              <w:t>15分，良得5</w:t>
            </w:r>
            <w:r>
              <w:rPr>
                <w:rFonts w:ascii="宋体" w:hAnsi="宋体"/>
              </w:rPr>
              <w:t>-</w:t>
            </w:r>
            <w:r>
              <w:rPr>
                <w:rFonts w:hint="eastAsia" w:ascii="宋体" w:hAnsi="宋体"/>
              </w:rPr>
              <w:t>9分，差</w:t>
            </w:r>
            <w:r>
              <w:rPr>
                <w:rFonts w:hint="eastAsia" w:ascii="宋体" w:hAnsi="宋体"/>
                <w:lang w:eastAsia="zh-Hans"/>
              </w:rPr>
              <w:t>得</w:t>
            </w:r>
            <w:r>
              <w:rPr>
                <w:rFonts w:hint="eastAsia" w:ascii="宋体" w:hAnsi="宋体"/>
              </w:rPr>
              <w:t>0</w:t>
            </w:r>
            <w:r>
              <w:rPr>
                <w:rFonts w:ascii="宋体" w:hAnsi="宋体"/>
              </w:rPr>
              <w:t>-</w:t>
            </w:r>
            <w:r>
              <w:rPr>
                <w:rFonts w:hint="eastAsia" w:ascii="宋体" w:hAnsi="宋体"/>
              </w:rPr>
              <w:t>4</w:t>
            </w:r>
            <w:r>
              <w:rPr>
                <w:rFonts w:hint="eastAsia" w:ascii="宋体" w:hAnsi="宋体"/>
                <w:lang w:eastAsia="zh-Hans"/>
              </w:rPr>
              <w:t>分</w:t>
            </w:r>
            <w:r>
              <w:rPr>
                <w:rFonts w:hint="eastAsia" w:ascii="宋体" w:hAnsi="宋体"/>
              </w:rPr>
              <w:t>。</w:t>
            </w:r>
            <w:r>
              <w:rPr>
                <w:rFonts w:hint="eastAsia" w:ascii="宋体" w:hAnsi="宋体"/>
                <w:lang w:eastAsia="zh-Hans"/>
              </w:rPr>
              <w:t>未提供</w:t>
            </w:r>
            <w:r>
              <w:rPr>
                <w:rFonts w:hint="eastAsia" w:ascii="宋体" w:hAnsi="宋体"/>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vAlign w:val="center"/>
          </w:tcPr>
          <w:p>
            <w:pPr>
              <w:snapToGrid w:val="0"/>
              <w:spacing w:line="400" w:lineRule="exact"/>
              <w:jc w:val="center"/>
              <w:rPr>
                <w:rFonts w:ascii="宋体" w:hAnsi="宋体" w:cs="宋体"/>
                <w:kern w:val="0"/>
              </w:rPr>
            </w:pPr>
          </w:p>
        </w:tc>
        <w:tc>
          <w:tcPr>
            <w:tcW w:w="1415" w:type="dxa"/>
            <w:vMerge w:val="continue"/>
            <w:vAlign w:val="center"/>
          </w:tcPr>
          <w:p>
            <w:pPr>
              <w:pStyle w:val="38"/>
              <w:rPr>
                <w:rFonts w:ascii="宋体" w:hAnsi="宋体" w:cs="宋体"/>
                <w:sz w:val="21"/>
                <w:szCs w:val="21"/>
                <w:u w:val="none"/>
                <w:lang w:eastAsia="zh-CN"/>
              </w:rPr>
            </w:pPr>
          </w:p>
        </w:tc>
        <w:tc>
          <w:tcPr>
            <w:tcW w:w="1753" w:type="dxa"/>
            <w:gridSpan w:val="2"/>
            <w:vAlign w:val="center"/>
          </w:tcPr>
          <w:p>
            <w:pPr>
              <w:snapToGrid w:val="0"/>
              <w:spacing w:line="400" w:lineRule="exact"/>
              <w:rPr>
                <w:rFonts w:ascii="宋体" w:hAnsi="宋体" w:cs="宋体"/>
              </w:rPr>
            </w:pPr>
            <w:r>
              <w:rPr>
                <w:rFonts w:hint="eastAsia" w:ascii="宋体" w:hAnsi="宋体" w:cs="宋体"/>
                <w:color w:val="000000"/>
                <w:kern w:val="0"/>
                <w:lang w:bidi="ar"/>
              </w:rPr>
              <w:t>团队实力（1</w:t>
            </w:r>
            <w:r>
              <w:rPr>
                <w:rFonts w:ascii="宋体" w:hAnsi="宋体" w:cs="宋体"/>
                <w:color w:val="000000"/>
                <w:kern w:val="0"/>
                <w:lang w:bidi="ar"/>
              </w:rPr>
              <w:t>0</w:t>
            </w:r>
            <w:r>
              <w:rPr>
                <w:rFonts w:hint="eastAsia" w:ascii="宋体" w:hAnsi="宋体" w:cs="宋体"/>
                <w:color w:val="000000"/>
                <w:kern w:val="0"/>
                <w:lang w:bidi="ar"/>
              </w:rPr>
              <w:t>分）</w:t>
            </w:r>
          </w:p>
        </w:tc>
        <w:tc>
          <w:tcPr>
            <w:tcW w:w="5476" w:type="dxa"/>
            <w:vAlign w:val="center"/>
          </w:tcPr>
          <w:p>
            <w:pPr>
              <w:snapToGrid w:val="0"/>
              <w:spacing w:line="400" w:lineRule="exact"/>
              <w:rPr>
                <w:rFonts w:ascii="宋体" w:hAnsi="宋体" w:cs="宋体"/>
              </w:rPr>
            </w:pPr>
            <w:r>
              <w:rPr>
                <w:rFonts w:hint="eastAsia" w:ascii="宋体" w:hAnsi="宋体" w:cs="宋体"/>
              </w:rPr>
              <w:t>拟派本项目团队成员原则上不少于6人，其中项目经理应具备信息系统项目管理师和相关信息安全人员认证资格，其余成员应具备5个及以上CISP或CISSP或CISAW人员证书，全部具备得1</w:t>
            </w:r>
            <w:r>
              <w:rPr>
                <w:rFonts w:ascii="宋体" w:hAnsi="宋体" w:cs="宋体"/>
              </w:rPr>
              <w:t>0</w:t>
            </w:r>
            <w:r>
              <w:rPr>
                <w:rFonts w:hint="eastAsia" w:ascii="宋体" w:hAnsi="宋体" w:cs="宋体"/>
              </w:rPr>
              <w:t>分，缺一个扣</w:t>
            </w:r>
            <w:r>
              <w:rPr>
                <w:rFonts w:ascii="宋体" w:hAnsi="宋体" w:cs="宋体"/>
              </w:rPr>
              <w:t>2</w:t>
            </w:r>
            <w:r>
              <w:rPr>
                <w:rFonts w:hint="eastAsia" w:ascii="宋体" w:hAnsi="宋体" w:cs="宋体"/>
              </w:rPr>
              <w:t>分，不具备不得分。（提供证书复印件及比选申请人为其缴纳的近六个月的社保证明材料复印件并加盖比选申请人公章。）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vAlign w:val="center"/>
          </w:tcPr>
          <w:p>
            <w:pPr>
              <w:snapToGrid w:val="0"/>
              <w:spacing w:line="400" w:lineRule="exact"/>
              <w:jc w:val="center"/>
              <w:rPr>
                <w:rFonts w:ascii="宋体" w:hAnsi="宋体" w:cs="宋体"/>
                <w:kern w:val="0"/>
              </w:rPr>
            </w:pPr>
          </w:p>
        </w:tc>
        <w:tc>
          <w:tcPr>
            <w:tcW w:w="1415" w:type="dxa"/>
            <w:vMerge w:val="continue"/>
            <w:vAlign w:val="center"/>
          </w:tcPr>
          <w:p>
            <w:pPr>
              <w:pStyle w:val="38"/>
              <w:rPr>
                <w:rFonts w:ascii="宋体" w:hAnsi="宋体" w:cs="宋体"/>
                <w:sz w:val="21"/>
                <w:szCs w:val="21"/>
                <w:u w:val="none"/>
                <w:lang w:eastAsia="zh-CN"/>
              </w:rPr>
            </w:pPr>
          </w:p>
        </w:tc>
        <w:tc>
          <w:tcPr>
            <w:tcW w:w="1753" w:type="dxa"/>
            <w:gridSpan w:val="2"/>
            <w:vAlign w:val="center"/>
          </w:tcPr>
          <w:p>
            <w:pPr>
              <w:snapToGrid w:val="0"/>
              <w:spacing w:line="400" w:lineRule="exact"/>
              <w:rPr>
                <w:rFonts w:ascii="宋体" w:hAnsi="宋体" w:cs="宋体"/>
                <w:color w:val="000000"/>
                <w:kern w:val="0"/>
                <w:lang w:bidi="ar"/>
              </w:rPr>
            </w:pPr>
            <w:r>
              <w:rPr>
                <w:rFonts w:hint="eastAsia" w:ascii="宋体" w:hAnsi="宋体" w:cs="宋体"/>
                <w:color w:val="000000"/>
                <w:kern w:val="0"/>
                <w:lang w:bidi="ar"/>
              </w:rPr>
              <w:t>驻场人员（5分）</w:t>
            </w:r>
          </w:p>
        </w:tc>
        <w:tc>
          <w:tcPr>
            <w:tcW w:w="5476" w:type="dxa"/>
            <w:vAlign w:val="center"/>
          </w:tcPr>
          <w:p>
            <w:pPr>
              <w:snapToGrid w:val="0"/>
              <w:spacing w:line="400" w:lineRule="exact"/>
              <w:rPr>
                <w:rFonts w:ascii="宋体" w:hAnsi="宋体" w:cs="宋体"/>
              </w:rPr>
            </w:pPr>
            <w:r>
              <w:rPr>
                <w:rFonts w:hint="eastAsia" w:ascii="宋体" w:hAnsi="宋体" w:cs="宋体"/>
              </w:rPr>
              <w:t>驻场成员应具备CISP或CISSP或CISAW人员证书，具备得</w:t>
            </w:r>
            <w:r>
              <w:rPr>
                <w:rFonts w:ascii="宋体" w:hAnsi="宋体" w:cs="宋体"/>
              </w:rPr>
              <w:t>5</w:t>
            </w:r>
            <w:r>
              <w:rPr>
                <w:rFonts w:hint="eastAsia" w:ascii="宋体" w:hAnsi="宋体" w:cs="宋体"/>
              </w:rPr>
              <w:t>分，不具备不得分。（提供证书复印件、比选申请人为其缴纳的近六个月的社保证明材料复印件并加盖比选申请人公章。）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pPr>
              <w:spacing w:line="400" w:lineRule="exact"/>
              <w:jc w:val="center"/>
              <w:rPr>
                <w:rFonts w:ascii="宋体" w:hAnsi="宋体" w:cs="宋体"/>
                <w:kern w:val="0"/>
              </w:rPr>
            </w:pPr>
            <w:r>
              <w:rPr>
                <w:rFonts w:hint="eastAsia" w:ascii="宋体" w:hAnsi="宋体" w:cs="宋体"/>
              </w:rPr>
              <w:t>3</w:t>
            </w:r>
          </w:p>
        </w:tc>
        <w:tc>
          <w:tcPr>
            <w:tcW w:w="1415" w:type="dxa"/>
            <w:textDirection w:val="tbRlV"/>
            <w:vAlign w:val="center"/>
          </w:tcPr>
          <w:p>
            <w:pPr>
              <w:spacing w:line="400" w:lineRule="exact"/>
              <w:ind w:left="113" w:right="113"/>
              <w:jc w:val="center"/>
              <w:rPr>
                <w:rFonts w:ascii="宋体" w:hAnsi="宋体" w:cs="宋体"/>
                <w:kern w:val="0"/>
              </w:rPr>
            </w:pPr>
            <w:r>
              <w:rPr>
                <w:rFonts w:hint="eastAsia" w:ascii="宋体" w:hAnsi="宋体" w:cs="宋体"/>
              </w:rPr>
              <w:t>评审程序</w:t>
            </w:r>
          </w:p>
        </w:tc>
        <w:tc>
          <w:tcPr>
            <w:tcW w:w="7229" w:type="dxa"/>
            <w:gridSpan w:val="3"/>
          </w:tcPr>
          <w:p>
            <w:pPr>
              <w:spacing w:line="400" w:lineRule="exact"/>
              <w:ind w:firstLine="420" w:firstLineChars="200"/>
              <w:rPr>
                <w:rFonts w:ascii="宋体" w:hAnsi="宋体" w:cs="宋体"/>
                <w:kern w:val="0"/>
              </w:rPr>
            </w:pPr>
            <w:r>
              <w:rPr>
                <w:rFonts w:hint="eastAsia" w:ascii="宋体" w:hAnsi="宋体" w:cs="宋体"/>
                <w:kern w:val="0"/>
              </w:rPr>
              <w:t>1.评审小组依据本章第2.1款规定的标准对比选申请文件进行初步评审。有一项不符合评审标准的，作否决处理。</w:t>
            </w:r>
          </w:p>
          <w:p>
            <w:pPr>
              <w:spacing w:line="400" w:lineRule="exact"/>
              <w:ind w:firstLine="420" w:firstLineChars="200"/>
              <w:rPr>
                <w:rFonts w:ascii="宋体" w:hAnsi="宋体" w:cs="宋体"/>
              </w:rPr>
            </w:pPr>
            <w:r>
              <w:rPr>
                <w:rFonts w:hint="eastAsia" w:ascii="宋体" w:hAnsi="宋体" w:cs="宋体"/>
              </w:rPr>
              <w:t>2.初步评审合格的比选申请文件进入商务部分、技术部分、比选申请报价的评分。</w:t>
            </w:r>
          </w:p>
          <w:p>
            <w:pPr>
              <w:spacing w:line="400" w:lineRule="exact"/>
              <w:ind w:firstLine="420" w:firstLineChars="200"/>
              <w:rPr>
                <w:rFonts w:ascii="宋体" w:hAnsi="宋体" w:cs="宋体"/>
              </w:rPr>
            </w:pPr>
            <w:r>
              <w:rPr>
                <w:rFonts w:hint="eastAsia" w:ascii="宋体" w:hAnsi="宋体" w:cs="宋体"/>
              </w:rPr>
              <w:t>3.根据综合得分由高至低进行排序，推荐1-3家合格的中选候选人。并依次为第一、二、三中选候选人。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20" w:type="dxa"/>
            <w:vAlign w:val="center"/>
          </w:tcPr>
          <w:p>
            <w:pPr>
              <w:adjustRightInd w:val="0"/>
              <w:snapToGrid w:val="0"/>
              <w:spacing w:line="300" w:lineRule="exact"/>
              <w:jc w:val="center"/>
              <w:rPr>
                <w:rFonts w:ascii="宋体" w:hAnsi="宋体" w:cs="宋体"/>
              </w:rPr>
            </w:pPr>
            <w:r>
              <w:rPr>
                <w:rFonts w:hint="eastAsia" w:ascii="宋体" w:hAnsi="宋体" w:cs="宋体"/>
              </w:rPr>
              <w:t>3.2.1（1）</w:t>
            </w:r>
          </w:p>
        </w:tc>
        <w:tc>
          <w:tcPr>
            <w:tcW w:w="1415" w:type="dxa"/>
            <w:vAlign w:val="center"/>
          </w:tcPr>
          <w:p>
            <w:pPr>
              <w:adjustRightInd w:val="0"/>
              <w:snapToGrid w:val="0"/>
              <w:spacing w:line="300" w:lineRule="exact"/>
              <w:jc w:val="center"/>
              <w:rPr>
                <w:rFonts w:ascii="宋体" w:hAnsi="宋体" w:cs="宋体"/>
              </w:rPr>
            </w:pPr>
            <w:r>
              <w:rPr>
                <w:rFonts w:hint="eastAsia" w:ascii="宋体" w:hAnsi="宋体" w:cs="宋体"/>
              </w:rPr>
              <w:t>比选申请报价得分（A）</w:t>
            </w:r>
          </w:p>
        </w:tc>
        <w:tc>
          <w:tcPr>
            <w:tcW w:w="7229" w:type="dxa"/>
            <w:gridSpan w:val="3"/>
            <w:vAlign w:val="center"/>
          </w:tcPr>
          <w:p>
            <w:pPr>
              <w:adjustRightInd w:val="0"/>
              <w:snapToGrid w:val="0"/>
              <w:spacing w:line="300" w:lineRule="exact"/>
              <w:ind w:firstLine="420" w:firstLineChars="200"/>
              <w:jc w:val="center"/>
              <w:rPr>
                <w:rFonts w:ascii="宋体" w:hAnsi="宋体" w:cs="宋体"/>
              </w:rPr>
            </w:pPr>
            <w:r>
              <w:rPr>
                <w:rFonts w:hint="eastAsia" w:ascii="宋体" w:hAnsi="宋体" w:cs="宋体"/>
              </w:rPr>
              <w:t>按2.2.4（1）项各评审因素设定的分值评分。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20" w:type="dxa"/>
            <w:vAlign w:val="center"/>
          </w:tcPr>
          <w:p>
            <w:pPr>
              <w:adjustRightInd w:val="0"/>
              <w:snapToGrid w:val="0"/>
              <w:spacing w:line="300" w:lineRule="exact"/>
              <w:jc w:val="center"/>
              <w:rPr>
                <w:rFonts w:ascii="宋体" w:hAnsi="宋体" w:cs="宋体"/>
              </w:rPr>
            </w:pPr>
            <w:r>
              <w:rPr>
                <w:rFonts w:hint="eastAsia" w:ascii="宋体" w:hAnsi="宋体" w:cs="宋体"/>
              </w:rPr>
              <w:t>3.2.1（2）</w:t>
            </w:r>
          </w:p>
        </w:tc>
        <w:tc>
          <w:tcPr>
            <w:tcW w:w="1415" w:type="dxa"/>
            <w:vAlign w:val="center"/>
          </w:tcPr>
          <w:p>
            <w:pPr>
              <w:adjustRightInd w:val="0"/>
              <w:snapToGrid w:val="0"/>
              <w:spacing w:line="300" w:lineRule="exact"/>
              <w:jc w:val="center"/>
              <w:rPr>
                <w:rFonts w:ascii="宋体" w:hAnsi="宋体" w:cs="宋体"/>
              </w:rPr>
            </w:pPr>
            <w:r>
              <w:rPr>
                <w:rFonts w:hint="eastAsia" w:ascii="宋体" w:hAnsi="宋体" w:cs="宋体"/>
                <w:kern w:val="0"/>
              </w:rPr>
              <w:t>商务部分得分（B）</w:t>
            </w:r>
          </w:p>
        </w:tc>
        <w:tc>
          <w:tcPr>
            <w:tcW w:w="7229" w:type="dxa"/>
            <w:gridSpan w:val="3"/>
            <w:vAlign w:val="center"/>
          </w:tcPr>
          <w:p>
            <w:pPr>
              <w:adjustRightInd w:val="0"/>
              <w:snapToGrid w:val="0"/>
              <w:spacing w:line="300" w:lineRule="exact"/>
              <w:ind w:firstLine="420" w:firstLineChars="200"/>
              <w:jc w:val="center"/>
              <w:rPr>
                <w:rFonts w:ascii="宋体" w:hAnsi="宋体" w:cs="宋体"/>
              </w:rPr>
            </w:pPr>
            <w:r>
              <w:rPr>
                <w:rFonts w:hint="eastAsia" w:ascii="宋体" w:hAnsi="宋体" w:cs="宋体"/>
              </w:rPr>
              <w:t>按2.2.4（2）项各评审因素设定的分值评分。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20" w:type="dxa"/>
            <w:vAlign w:val="center"/>
          </w:tcPr>
          <w:p>
            <w:pPr>
              <w:adjustRightInd w:val="0"/>
              <w:snapToGrid w:val="0"/>
              <w:spacing w:line="300" w:lineRule="exact"/>
              <w:jc w:val="center"/>
              <w:rPr>
                <w:rFonts w:ascii="宋体" w:hAnsi="宋体" w:cs="宋体"/>
              </w:rPr>
            </w:pPr>
            <w:r>
              <w:rPr>
                <w:rFonts w:hint="eastAsia" w:ascii="宋体" w:hAnsi="宋体" w:cs="宋体"/>
              </w:rPr>
              <w:t>3.2.1（3）</w:t>
            </w:r>
          </w:p>
        </w:tc>
        <w:tc>
          <w:tcPr>
            <w:tcW w:w="1415" w:type="dxa"/>
            <w:vAlign w:val="center"/>
          </w:tcPr>
          <w:p>
            <w:pPr>
              <w:adjustRightInd w:val="0"/>
              <w:snapToGrid w:val="0"/>
              <w:spacing w:line="300" w:lineRule="exact"/>
              <w:jc w:val="center"/>
              <w:rPr>
                <w:rFonts w:ascii="宋体" w:hAnsi="宋体" w:cs="宋体"/>
              </w:rPr>
            </w:pPr>
            <w:r>
              <w:rPr>
                <w:rFonts w:hint="eastAsia" w:ascii="宋体" w:hAnsi="宋体" w:cs="宋体"/>
                <w:kern w:val="0"/>
              </w:rPr>
              <w:t>技术部分得分（C）</w:t>
            </w:r>
          </w:p>
        </w:tc>
        <w:tc>
          <w:tcPr>
            <w:tcW w:w="7229" w:type="dxa"/>
            <w:gridSpan w:val="3"/>
            <w:vAlign w:val="center"/>
          </w:tcPr>
          <w:p>
            <w:pPr>
              <w:adjustRightInd w:val="0"/>
              <w:snapToGrid w:val="0"/>
              <w:spacing w:line="300" w:lineRule="exact"/>
              <w:ind w:firstLine="420" w:firstLineChars="200"/>
              <w:jc w:val="center"/>
              <w:rPr>
                <w:rFonts w:ascii="宋体" w:hAnsi="宋体" w:cs="宋体"/>
              </w:rPr>
            </w:pPr>
            <w:r>
              <w:rPr>
                <w:rFonts w:hint="eastAsia" w:ascii="宋体" w:hAnsi="宋体" w:cs="宋体"/>
              </w:rPr>
              <w:t>按2.2.4（3）项各评审因素设定的分值评分。</w:t>
            </w:r>
            <w:r>
              <w:rPr>
                <w:rFonts w:hint="eastAsia" w:ascii="仿宋_GB2312" w:hAnsi="仿宋_GB2312" w:cs="仿宋_GB2312"/>
              </w:rPr>
              <w:t>技术部分得分为</w:t>
            </w:r>
            <w:r>
              <w:rPr>
                <w:rFonts w:hint="eastAsia" w:ascii="仿宋_GB2312" w:hAnsi="仿宋_GB2312" w:cs="仿宋_GB2312"/>
                <w:kern w:val="0"/>
              </w:rPr>
              <w:t>评审小组成员评分的算术平均值。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235" w:type="dxa"/>
            <w:gridSpan w:val="2"/>
            <w:vAlign w:val="center"/>
          </w:tcPr>
          <w:p>
            <w:pPr>
              <w:spacing w:line="400" w:lineRule="exact"/>
              <w:ind w:firstLine="420" w:firstLineChars="200"/>
              <w:rPr>
                <w:rFonts w:ascii="宋体" w:hAnsi="宋体" w:cs="宋体"/>
              </w:rPr>
            </w:pPr>
            <w:r>
              <w:rPr>
                <w:rFonts w:hint="eastAsia" w:ascii="宋体" w:hAnsi="宋体" w:cs="宋体"/>
              </w:rPr>
              <w:t>3.2.3</w:t>
            </w:r>
          </w:p>
        </w:tc>
        <w:tc>
          <w:tcPr>
            <w:tcW w:w="1578" w:type="dxa"/>
            <w:vAlign w:val="center"/>
          </w:tcPr>
          <w:p>
            <w:pPr>
              <w:spacing w:line="400" w:lineRule="exact"/>
              <w:rPr>
                <w:rFonts w:ascii="宋体" w:hAnsi="宋体" w:cs="宋体"/>
              </w:rPr>
            </w:pPr>
            <w:r>
              <w:rPr>
                <w:rFonts w:hint="eastAsia" w:ascii="宋体" w:hAnsi="宋体" w:cs="宋体"/>
              </w:rPr>
              <w:t>比选申请人得分</w:t>
            </w:r>
          </w:p>
        </w:tc>
        <w:tc>
          <w:tcPr>
            <w:tcW w:w="5651" w:type="dxa"/>
            <w:gridSpan w:val="2"/>
            <w:vAlign w:val="center"/>
          </w:tcPr>
          <w:p>
            <w:pPr>
              <w:spacing w:line="400" w:lineRule="exact"/>
              <w:ind w:firstLine="420" w:firstLineChars="200"/>
              <w:jc w:val="center"/>
              <w:rPr>
                <w:rFonts w:ascii="宋体" w:hAnsi="宋体" w:cs="宋体"/>
              </w:rPr>
            </w:pPr>
            <w:r>
              <w:rPr>
                <w:rFonts w:hint="eastAsia" w:ascii="宋体" w:hAnsi="宋体" w:cs="宋体"/>
              </w:rPr>
              <w:t>比选申请人得分=A+B+C</w:t>
            </w:r>
          </w:p>
        </w:tc>
      </w:tr>
      <w:bookmarkEnd w:id="26"/>
    </w:tbl>
    <w:p>
      <w:pPr>
        <w:spacing w:line="360" w:lineRule="auto"/>
        <w:rPr>
          <w:rFonts w:ascii="宋体"/>
        </w:rPr>
      </w:pPr>
      <w:r>
        <w:rPr>
          <w:rFonts w:hint="eastAsia" w:ascii="宋体" w:hAnsi="宋体" w:cs="宋体"/>
          <w:b/>
          <w:bCs/>
        </w:rPr>
        <w:t>九、否决比选申请文件及重新选择中选单位说明</w:t>
      </w:r>
    </w:p>
    <w:p>
      <w:pPr>
        <w:spacing w:line="360" w:lineRule="auto"/>
        <w:ind w:firstLine="315" w:firstLineChars="150"/>
        <w:rPr>
          <w:rFonts w:ascii="宋体" w:hAnsi="宋体" w:cs="宋体"/>
        </w:rPr>
      </w:pPr>
      <w:r>
        <w:rPr>
          <w:rFonts w:hint="eastAsia" w:ascii="宋体" w:hAnsi="宋体" w:cs="宋体"/>
        </w:rPr>
        <w:t>在合作期间，若中选单位不能按照比选文件或合同约定履约、自动退出的，我公司将解除合同。同时依法组织重新比选。</w:t>
      </w:r>
    </w:p>
    <w:p>
      <w:pPr>
        <w:spacing w:line="360" w:lineRule="auto"/>
        <w:rPr>
          <w:rFonts w:ascii="宋体" w:hAnsi="宋体" w:cs="宋体"/>
        </w:rPr>
      </w:pPr>
      <w:r>
        <w:rPr>
          <w:rFonts w:hint="eastAsia" w:ascii="宋体" w:hAnsi="宋体" w:cs="宋体"/>
          <w:b/>
          <w:bCs/>
        </w:rPr>
        <w:t>十、合同的签订</w:t>
      </w:r>
    </w:p>
    <w:p>
      <w:pPr>
        <w:spacing w:line="360" w:lineRule="auto"/>
        <w:ind w:firstLine="420" w:firstLineChars="200"/>
        <w:rPr>
          <w:rFonts w:ascii="宋体"/>
        </w:rPr>
      </w:pPr>
      <w:r>
        <w:rPr>
          <w:rFonts w:hint="eastAsia" w:ascii="宋体" w:hAnsi="宋体" w:cs="宋体"/>
        </w:rPr>
        <w:t>中选人应当自中选通知书签章起</w:t>
      </w:r>
      <w:r>
        <w:rPr>
          <w:rFonts w:ascii="宋体" w:hAnsi="宋体" w:cs="宋体"/>
        </w:rPr>
        <w:t>15</w:t>
      </w:r>
      <w:r>
        <w:rPr>
          <w:rFonts w:hint="eastAsia" w:ascii="宋体" w:hAnsi="宋体" w:cs="宋体"/>
        </w:rPr>
        <w:t>天内按比选文件合同模板和中选人的比选申请文件内容与比选人签订书面合同。中选人无正当理由拒签合同的或因中选人原因未在规定时间内签定合同的，比选人取消其中选资格，给比选人造成损失的，中选人还应当予以赔偿。如中选人未签订合同，比选人将依法组织重新比选。</w:t>
      </w:r>
    </w:p>
    <w:p>
      <w:pPr>
        <w:spacing w:line="360" w:lineRule="auto"/>
        <w:rPr>
          <w:rFonts w:ascii="宋体"/>
        </w:rPr>
      </w:pPr>
      <w:r>
        <w:rPr>
          <w:rFonts w:hint="eastAsia" w:ascii="宋体" w:hAnsi="宋体" w:cs="宋体"/>
          <w:b/>
          <w:bCs/>
        </w:rPr>
        <w:t>十一、重新比选和不再比选</w:t>
      </w:r>
    </w:p>
    <w:p>
      <w:pPr>
        <w:spacing w:line="360" w:lineRule="auto"/>
        <w:ind w:firstLine="315" w:firstLineChars="150"/>
        <w:rPr>
          <w:rFonts w:ascii="宋体"/>
        </w:rPr>
      </w:pPr>
      <w:bookmarkStart w:id="27" w:name="_Toc200513170"/>
      <w:r>
        <w:rPr>
          <w:rFonts w:ascii="宋体" w:hAnsi="宋体" w:cs="宋体"/>
        </w:rPr>
        <w:t>1</w:t>
      </w:r>
      <w:r>
        <w:rPr>
          <w:rFonts w:hint="eastAsia" w:ascii="宋体" w:hAnsi="宋体" w:cs="宋体"/>
        </w:rPr>
        <w:t>、重新</w:t>
      </w:r>
      <w:bookmarkEnd w:id="27"/>
      <w:r>
        <w:rPr>
          <w:rFonts w:hint="eastAsia" w:ascii="宋体" w:hAnsi="宋体" w:cs="宋体"/>
        </w:rPr>
        <w:t>比选</w:t>
      </w:r>
    </w:p>
    <w:p>
      <w:pPr>
        <w:spacing w:line="360" w:lineRule="auto"/>
        <w:ind w:firstLine="315" w:firstLineChars="150"/>
        <w:rPr>
          <w:rFonts w:ascii="宋体"/>
        </w:rPr>
      </w:pPr>
      <w:r>
        <w:rPr>
          <w:rFonts w:hint="eastAsia" w:ascii="宋体" w:hAnsi="宋体" w:cs="宋体"/>
        </w:rPr>
        <w:t>有下列情形之一的，比选人将重新进行竞争性比选：</w:t>
      </w:r>
    </w:p>
    <w:p>
      <w:pPr>
        <w:spacing w:line="360" w:lineRule="auto"/>
        <w:ind w:firstLine="210" w:firstLineChars="100"/>
        <w:rPr>
          <w:rFonts w:ascii="宋体"/>
        </w:rPr>
      </w:pPr>
      <w:r>
        <w:rPr>
          <w:rFonts w:hint="eastAsia" w:ascii="宋体" w:hAnsi="宋体" w:cs="宋体"/>
        </w:rPr>
        <w:t>（</w:t>
      </w:r>
      <w:r>
        <w:rPr>
          <w:rFonts w:ascii="宋体" w:hAnsi="宋体" w:cs="宋体"/>
        </w:rPr>
        <w:t>1</w:t>
      </w:r>
      <w:r>
        <w:rPr>
          <w:rFonts w:hint="eastAsia" w:ascii="宋体" w:hAnsi="宋体" w:cs="宋体"/>
        </w:rPr>
        <w:t>）</w:t>
      </w:r>
      <w:bookmarkStart w:id="28" w:name="_Toc200513171"/>
      <w:r>
        <w:rPr>
          <w:rFonts w:hint="eastAsia" w:ascii="宋体" w:hAnsi="宋体" w:cs="宋体"/>
        </w:rPr>
        <w:t>比选截止时间止，比选申请人少于</w:t>
      </w:r>
      <w:r>
        <w:rPr>
          <w:rFonts w:ascii="宋体" w:hAnsi="宋体" w:cs="宋体"/>
        </w:rPr>
        <w:t>3</w:t>
      </w:r>
      <w:r>
        <w:rPr>
          <w:rFonts w:hint="eastAsia" w:ascii="宋体" w:hAnsi="宋体" w:cs="宋体"/>
        </w:rPr>
        <w:t>个的；</w:t>
      </w:r>
    </w:p>
    <w:p>
      <w:pPr>
        <w:spacing w:line="360" w:lineRule="auto"/>
        <w:ind w:firstLine="210" w:firstLineChars="100"/>
        <w:rPr>
          <w:rFonts w:ascii="宋体"/>
        </w:rPr>
      </w:pPr>
      <w:r>
        <w:rPr>
          <w:rFonts w:hint="eastAsia" w:ascii="宋体" w:hAnsi="宋体" w:cs="宋体"/>
        </w:rPr>
        <w:t>（</w:t>
      </w:r>
      <w:r>
        <w:rPr>
          <w:rFonts w:ascii="宋体" w:hAnsi="宋体" w:cs="宋体"/>
        </w:rPr>
        <w:t>2</w:t>
      </w:r>
      <w:r>
        <w:rPr>
          <w:rFonts w:hint="eastAsia" w:ascii="宋体" w:hAnsi="宋体" w:cs="宋体"/>
        </w:rPr>
        <w:t>）经评审委员会评审后否决所有比选申请的。</w:t>
      </w:r>
    </w:p>
    <w:p>
      <w:pPr>
        <w:spacing w:line="360" w:lineRule="auto"/>
        <w:ind w:firstLine="210" w:firstLineChars="100"/>
        <w:rPr>
          <w:rFonts w:ascii="宋体"/>
        </w:rPr>
      </w:pPr>
      <w:r>
        <w:rPr>
          <w:rFonts w:hint="eastAsia" w:ascii="宋体" w:hAnsi="宋体" w:cs="宋体"/>
        </w:rPr>
        <w:t>（</w:t>
      </w:r>
      <w:r>
        <w:rPr>
          <w:rFonts w:ascii="宋体" w:hAnsi="宋体" w:cs="宋体"/>
        </w:rPr>
        <w:t>3</w:t>
      </w:r>
      <w:r>
        <w:rPr>
          <w:rFonts w:hint="eastAsia" w:ascii="宋体" w:hAnsi="宋体" w:cs="宋体"/>
        </w:rPr>
        <w:t>）经评审后，如合格的比选申请人少于三个的，且明显缺乏竞争的，评审委员会可以否决全部比选申请，比选人将重新组织比选；</w:t>
      </w:r>
    </w:p>
    <w:p>
      <w:pPr>
        <w:spacing w:line="360" w:lineRule="auto"/>
        <w:ind w:firstLine="210" w:firstLineChars="100"/>
        <w:rPr>
          <w:rFonts w:ascii="宋体"/>
        </w:rPr>
      </w:pPr>
      <w:r>
        <w:rPr>
          <w:rFonts w:hint="eastAsia" w:ascii="宋体" w:hAnsi="宋体" w:cs="宋体"/>
        </w:rPr>
        <w:t>（</w:t>
      </w:r>
      <w:r>
        <w:rPr>
          <w:rFonts w:ascii="宋体" w:hAnsi="宋体" w:cs="宋体"/>
        </w:rPr>
        <w:t>4</w:t>
      </w:r>
      <w:r>
        <w:rPr>
          <w:rFonts w:hint="eastAsia" w:ascii="宋体" w:hAnsi="宋体" w:cs="宋体"/>
        </w:rPr>
        <w:t>）法律法规规定的其他情形。</w:t>
      </w:r>
      <w:bookmarkEnd w:id="28"/>
    </w:p>
    <w:p>
      <w:pPr>
        <w:spacing w:line="360" w:lineRule="auto"/>
        <w:ind w:firstLine="210" w:firstLineChars="100"/>
        <w:rPr>
          <w:rFonts w:ascii="宋体"/>
        </w:rPr>
      </w:pPr>
      <w:r>
        <w:rPr>
          <w:rFonts w:ascii="宋体" w:hAnsi="宋体" w:cs="宋体"/>
        </w:rPr>
        <w:t>2</w:t>
      </w:r>
      <w:r>
        <w:rPr>
          <w:rFonts w:hint="eastAsia" w:ascii="宋体" w:hAnsi="宋体" w:cs="宋体"/>
        </w:rPr>
        <w:t>、重新比选和不再比选</w:t>
      </w:r>
    </w:p>
    <w:p>
      <w:pPr>
        <w:spacing w:line="360" w:lineRule="auto"/>
        <w:ind w:firstLine="420" w:firstLineChars="200"/>
        <w:rPr>
          <w:rFonts w:ascii="宋体" w:hAnsi="宋体" w:cs="宋体"/>
        </w:rPr>
      </w:pPr>
      <w:r>
        <w:rPr>
          <w:rFonts w:hint="eastAsia" w:ascii="宋体" w:hAnsi="宋体" w:cs="宋体"/>
        </w:rPr>
        <w:t>重新比选后比选申请人仍少于</w:t>
      </w:r>
      <w:r>
        <w:rPr>
          <w:rFonts w:ascii="宋体" w:hAnsi="宋体" w:cs="宋体"/>
        </w:rPr>
        <w:t>3</w:t>
      </w:r>
      <w:r>
        <w:rPr>
          <w:rFonts w:hint="eastAsia" w:ascii="宋体" w:hAnsi="宋体" w:cs="宋体"/>
        </w:rPr>
        <w:t>个，按法定程序开标和评审，确定中选人。经评审无合格比选申请人，经比选人审批或者核准后不再进行比选。</w:t>
      </w:r>
    </w:p>
    <w:p>
      <w:pPr>
        <w:spacing w:line="360" w:lineRule="auto"/>
        <w:rPr>
          <w:rFonts w:ascii="宋体" w:hAnsi="宋体" w:cs="宋体"/>
          <w:b/>
          <w:bCs/>
        </w:rPr>
      </w:pPr>
      <w:r>
        <w:rPr>
          <w:rFonts w:hint="eastAsia" w:ascii="宋体" w:hAnsi="宋体" w:cs="宋体"/>
          <w:b/>
          <w:bCs/>
        </w:rPr>
        <w:t>十二、代理服务费</w:t>
      </w:r>
    </w:p>
    <w:p>
      <w:pPr>
        <w:spacing w:line="360" w:lineRule="auto"/>
        <w:ind w:firstLine="420" w:firstLineChars="200"/>
        <w:rPr>
          <w:rFonts w:ascii="宋体"/>
        </w:rPr>
      </w:pPr>
      <w:r>
        <w:rPr>
          <w:rFonts w:hint="eastAsia" w:ascii="宋体" w:hAnsi="宋体" w:cs="宋体"/>
        </w:rPr>
        <w:t>本项目代理服务费为定额5000元，由中选人在领取中选通知书前一次性向代理机构缴纳。</w:t>
      </w:r>
    </w:p>
    <w:p>
      <w:pPr>
        <w:snapToGrid w:val="0"/>
        <w:spacing w:line="360" w:lineRule="auto"/>
        <w:ind w:firstLine="630" w:firstLineChars="224"/>
        <w:outlineLvl w:val="0"/>
        <w:rPr>
          <w:rFonts w:ascii="宋体" w:hAnsi="宋体" w:cs="宋体"/>
          <w:b/>
          <w:bCs/>
          <w:sz w:val="28"/>
          <w:szCs w:val="28"/>
        </w:rPr>
      </w:pPr>
    </w:p>
    <w:p>
      <w:pPr>
        <w:rPr>
          <w:rFonts w:ascii="宋体" w:hAnsi="宋体" w:cs="宋体"/>
          <w:b/>
          <w:bCs/>
          <w:sz w:val="28"/>
          <w:szCs w:val="28"/>
        </w:rPr>
      </w:pPr>
      <w:r>
        <w:rPr>
          <w:rFonts w:ascii="宋体" w:hAnsi="宋体" w:cs="宋体"/>
          <w:b/>
          <w:bCs/>
          <w:sz w:val="28"/>
          <w:szCs w:val="28"/>
        </w:rPr>
        <w:br w:type="page"/>
      </w:r>
    </w:p>
    <w:p>
      <w:pPr>
        <w:snapToGrid w:val="0"/>
        <w:spacing w:line="360" w:lineRule="auto"/>
        <w:ind w:firstLine="630" w:firstLineChars="224"/>
        <w:jc w:val="center"/>
        <w:outlineLvl w:val="0"/>
        <w:rPr>
          <w:rFonts w:ascii="宋体"/>
          <w:b/>
          <w:bCs/>
          <w:sz w:val="28"/>
          <w:szCs w:val="28"/>
        </w:rPr>
      </w:pPr>
      <w:bookmarkStart w:id="29" w:name="_Toc120633479"/>
      <w:r>
        <w:rPr>
          <w:rFonts w:hint="eastAsia" w:ascii="宋体" w:hAnsi="宋体" w:cs="宋体"/>
          <w:b/>
          <w:bCs/>
          <w:sz w:val="28"/>
          <w:szCs w:val="28"/>
        </w:rPr>
        <w:t>第三部分 比选申请文件格式</w:t>
      </w:r>
      <w:bookmarkEnd w:id="29"/>
    </w:p>
    <w:p>
      <w:pPr>
        <w:snapToGrid w:val="0"/>
        <w:spacing w:line="360" w:lineRule="auto"/>
        <w:ind w:firstLine="472" w:firstLineChars="224"/>
        <w:jc w:val="center"/>
        <w:rPr>
          <w:rFonts w:ascii="宋体"/>
          <w:b/>
          <w:bCs/>
        </w:rPr>
      </w:pPr>
      <w:r>
        <w:rPr>
          <w:rFonts w:ascii="宋体"/>
          <w:b/>
          <w:bCs/>
        </w:rPr>
        <w:br w:type="page"/>
      </w:r>
    </w:p>
    <w:p>
      <w:pPr>
        <w:spacing w:line="360" w:lineRule="auto"/>
        <w:jc w:val="left"/>
        <w:outlineLvl w:val="1"/>
        <w:rPr>
          <w:rFonts w:ascii="宋体"/>
          <w:sz w:val="28"/>
          <w:szCs w:val="28"/>
        </w:rPr>
      </w:pPr>
      <w:bookmarkStart w:id="30" w:name="_Toc3512"/>
      <w:bookmarkStart w:id="31" w:name="_Toc10647"/>
      <w:bookmarkStart w:id="32" w:name="_Toc120633480"/>
      <w:r>
        <w:rPr>
          <w:rFonts w:ascii="宋体" w:hAnsi="宋体" w:cs="宋体"/>
          <w:b/>
          <w:bCs/>
          <w:sz w:val="28"/>
          <w:szCs w:val="28"/>
        </w:rPr>
        <w:t>(</w:t>
      </w:r>
      <w:r>
        <w:rPr>
          <w:rFonts w:hint="eastAsia" w:ascii="宋体" w:hAnsi="宋体" w:cs="宋体"/>
          <w:b/>
          <w:bCs/>
          <w:sz w:val="28"/>
          <w:szCs w:val="28"/>
        </w:rPr>
        <w:t>正</w:t>
      </w:r>
      <w:r>
        <w:rPr>
          <w:rFonts w:ascii="宋体" w:hAnsi="宋体" w:cs="宋体"/>
          <w:b/>
          <w:bCs/>
          <w:sz w:val="28"/>
          <w:szCs w:val="28"/>
        </w:rPr>
        <w:t>/</w:t>
      </w:r>
      <w:r>
        <w:rPr>
          <w:rFonts w:hint="eastAsia" w:ascii="宋体" w:hAnsi="宋体" w:cs="宋体"/>
          <w:b/>
          <w:bCs/>
          <w:sz w:val="28"/>
          <w:szCs w:val="28"/>
        </w:rPr>
        <w:t>副本</w:t>
      </w:r>
      <w:r>
        <w:rPr>
          <w:rFonts w:ascii="宋体" w:hAnsi="宋体" w:cs="宋体"/>
          <w:b/>
          <w:bCs/>
          <w:sz w:val="28"/>
          <w:szCs w:val="28"/>
        </w:rPr>
        <w:t>)</w:t>
      </w:r>
      <w:bookmarkEnd w:id="30"/>
      <w:bookmarkEnd w:id="31"/>
      <w:bookmarkEnd w:id="32"/>
    </w:p>
    <w:p>
      <w:pPr>
        <w:spacing w:line="360" w:lineRule="auto"/>
        <w:jc w:val="left"/>
        <w:rPr>
          <w:rFonts w:ascii="宋体"/>
          <w:sz w:val="32"/>
          <w:szCs w:val="32"/>
        </w:rPr>
      </w:pPr>
    </w:p>
    <w:p>
      <w:pPr>
        <w:spacing w:line="360" w:lineRule="auto"/>
        <w:jc w:val="left"/>
        <w:rPr>
          <w:rFonts w:ascii="宋体"/>
          <w:sz w:val="32"/>
          <w:szCs w:val="32"/>
        </w:rPr>
      </w:pPr>
    </w:p>
    <w:p>
      <w:pPr>
        <w:spacing w:line="360" w:lineRule="auto"/>
        <w:jc w:val="left"/>
        <w:rPr>
          <w:rFonts w:ascii="宋体"/>
          <w:sz w:val="28"/>
          <w:szCs w:val="28"/>
        </w:rPr>
      </w:pPr>
    </w:p>
    <w:p>
      <w:pPr>
        <w:spacing w:line="360" w:lineRule="auto"/>
        <w:jc w:val="center"/>
        <w:outlineLvl w:val="1"/>
        <w:rPr>
          <w:rFonts w:ascii="宋体"/>
          <w:sz w:val="28"/>
          <w:szCs w:val="28"/>
        </w:rPr>
      </w:pPr>
      <w:bookmarkStart w:id="33" w:name="_Toc14951"/>
      <w:bookmarkStart w:id="34" w:name="_Toc120633481"/>
      <w:bookmarkStart w:id="35" w:name="_Toc584"/>
      <w:r>
        <w:rPr>
          <w:rFonts w:hint="eastAsia" w:ascii="宋体" w:hAnsi="宋体" w:cs="宋体"/>
          <w:b/>
          <w:bCs/>
          <w:sz w:val="72"/>
          <w:szCs w:val="72"/>
        </w:rPr>
        <w:t>比选申请文件</w:t>
      </w:r>
      <w:bookmarkEnd w:id="33"/>
      <w:bookmarkEnd w:id="34"/>
      <w:bookmarkEnd w:id="35"/>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ind w:firstLine="1120" w:firstLineChars="400"/>
        <w:outlineLvl w:val="1"/>
        <w:rPr>
          <w:rFonts w:ascii="宋体"/>
          <w:sz w:val="28"/>
          <w:szCs w:val="28"/>
          <w:u w:val="single"/>
        </w:rPr>
      </w:pPr>
      <w:bookmarkStart w:id="36" w:name="_Toc15178"/>
      <w:bookmarkStart w:id="37" w:name="_Toc120633482"/>
      <w:bookmarkStart w:id="38" w:name="_Toc19213"/>
      <w:r>
        <w:rPr>
          <w:rFonts w:hint="eastAsia" w:ascii="宋体" w:hAnsi="宋体" w:cs="宋体"/>
          <w:sz w:val="28"/>
          <w:szCs w:val="28"/>
        </w:rPr>
        <w:t>项目名称：</w:t>
      </w:r>
      <w:bookmarkEnd w:id="36"/>
      <w:bookmarkEnd w:id="37"/>
      <w:bookmarkEnd w:id="38"/>
    </w:p>
    <w:p>
      <w:pPr>
        <w:spacing w:line="360" w:lineRule="auto"/>
        <w:ind w:firstLine="1120" w:firstLineChars="400"/>
        <w:rPr>
          <w:rFonts w:ascii="宋体"/>
          <w:sz w:val="28"/>
          <w:szCs w:val="28"/>
          <w:u w:val="single"/>
        </w:rPr>
      </w:pPr>
    </w:p>
    <w:p>
      <w:pPr>
        <w:spacing w:line="360" w:lineRule="auto"/>
        <w:ind w:firstLine="1120" w:firstLineChars="400"/>
        <w:outlineLvl w:val="1"/>
        <w:rPr>
          <w:rFonts w:ascii="宋体"/>
          <w:sz w:val="28"/>
          <w:szCs w:val="28"/>
          <w:u w:val="single"/>
        </w:rPr>
      </w:pPr>
      <w:bookmarkStart w:id="39" w:name="_Toc17622"/>
      <w:bookmarkStart w:id="40" w:name="_Toc21195"/>
      <w:bookmarkStart w:id="41" w:name="_Toc120633483"/>
      <w:r>
        <w:rPr>
          <w:rFonts w:hint="eastAsia" w:ascii="宋体" w:hAnsi="宋体" w:cs="宋体"/>
          <w:sz w:val="28"/>
          <w:szCs w:val="28"/>
        </w:rPr>
        <w:t>比选申请人</w:t>
      </w:r>
      <w:r>
        <w:rPr>
          <w:rFonts w:ascii="宋体" w:hAnsi="宋体" w:cs="宋体"/>
          <w:sz w:val="28"/>
          <w:szCs w:val="28"/>
        </w:rPr>
        <w:t>:</w:t>
      </w:r>
      <w:r>
        <w:rPr>
          <w:rFonts w:hint="eastAsia" w:ascii="宋体" w:hAnsi="宋体" w:cs="宋体"/>
          <w:sz w:val="28"/>
          <w:szCs w:val="28"/>
          <w:u w:val="single"/>
        </w:rPr>
        <w:t>（盖章）</w:t>
      </w:r>
      <w:bookmarkEnd w:id="39"/>
      <w:bookmarkEnd w:id="40"/>
      <w:bookmarkEnd w:id="41"/>
    </w:p>
    <w:p>
      <w:pPr>
        <w:spacing w:line="360" w:lineRule="auto"/>
        <w:ind w:firstLine="1120" w:firstLineChars="400"/>
        <w:rPr>
          <w:rFonts w:ascii="宋体"/>
          <w:sz w:val="28"/>
          <w:szCs w:val="28"/>
          <w:u w:val="single"/>
        </w:rPr>
      </w:pPr>
    </w:p>
    <w:p>
      <w:pPr>
        <w:spacing w:line="360" w:lineRule="auto"/>
        <w:ind w:firstLine="1120" w:firstLineChars="400"/>
        <w:jc w:val="left"/>
        <w:outlineLvl w:val="1"/>
        <w:rPr>
          <w:rFonts w:ascii="宋体"/>
          <w:sz w:val="28"/>
          <w:szCs w:val="28"/>
          <w:u w:val="single"/>
        </w:rPr>
      </w:pPr>
      <w:bookmarkStart w:id="42" w:name="_Toc21790"/>
      <w:bookmarkStart w:id="43" w:name="_Toc20741"/>
      <w:bookmarkStart w:id="44" w:name="_Toc120633484"/>
      <w:r>
        <w:rPr>
          <w:rFonts w:hint="eastAsia" w:ascii="宋体" w:hAnsi="宋体" w:cs="宋体"/>
          <w:sz w:val="28"/>
          <w:szCs w:val="28"/>
        </w:rPr>
        <w:t>法定代表人或其委托代理人</w:t>
      </w:r>
      <w:r>
        <w:rPr>
          <w:rFonts w:ascii="宋体" w:hAnsi="宋体" w:cs="宋体"/>
          <w:sz w:val="28"/>
          <w:szCs w:val="28"/>
        </w:rPr>
        <w:t>:</w:t>
      </w:r>
      <w:r>
        <w:rPr>
          <w:rFonts w:hint="eastAsia" w:ascii="宋体" w:hAnsi="宋体" w:cs="宋体"/>
          <w:sz w:val="28"/>
          <w:szCs w:val="28"/>
          <w:u w:val="single"/>
        </w:rPr>
        <w:t>　　　　　（签名或盖章）</w:t>
      </w:r>
      <w:bookmarkEnd w:id="42"/>
      <w:bookmarkEnd w:id="43"/>
      <w:bookmarkEnd w:id="44"/>
    </w:p>
    <w:p>
      <w:pPr>
        <w:spacing w:line="360" w:lineRule="auto"/>
        <w:ind w:firstLine="1120" w:firstLineChars="400"/>
        <w:jc w:val="left"/>
        <w:rPr>
          <w:rFonts w:ascii="宋体"/>
          <w:sz w:val="28"/>
          <w:szCs w:val="28"/>
        </w:rPr>
      </w:pPr>
    </w:p>
    <w:p>
      <w:pPr>
        <w:spacing w:line="360" w:lineRule="auto"/>
        <w:ind w:firstLine="1120" w:firstLineChars="400"/>
        <w:outlineLvl w:val="1"/>
        <w:rPr>
          <w:rFonts w:ascii="宋体"/>
          <w:sz w:val="28"/>
          <w:szCs w:val="28"/>
          <w:u w:val="single"/>
        </w:rPr>
      </w:pPr>
      <w:bookmarkStart w:id="45" w:name="_Toc2482"/>
      <w:bookmarkStart w:id="46" w:name="_Toc627"/>
      <w:bookmarkStart w:id="47" w:name="_Toc120633485"/>
      <w:r>
        <w:rPr>
          <w:rFonts w:hint="eastAsia" w:ascii="宋体" w:hAnsi="宋体" w:cs="宋体"/>
          <w:sz w:val="28"/>
          <w:szCs w:val="28"/>
        </w:rPr>
        <w:t>地址：</w:t>
      </w:r>
      <w:bookmarkEnd w:id="45"/>
      <w:bookmarkEnd w:id="46"/>
      <w:bookmarkEnd w:id="47"/>
    </w:p>
    <w:p>
      <w:pPr>
        <w:spacing w:line="360" w:lineRule="auto"/>
        <w:ind w:firstLine="1120" w:firstLineChars="400"/>
        <w:rPr>
          <w:rFonts w:ascii="宋体"/>
          <w:sz w:val="28"/>
          <w:szCs w:val="28"/>
          <w:u w:val="single"/>
        </w:rPr>
      </w:pPr>
    </w:p>
    <w:p>
      <w:pPr>
        <w:snapToGrid w:val="0"/>
        <w:spacing w:line="360" w:lineRule="auto"/>
        <w:ind w:firstLine="1184" w:firstLineChars="423"/>
        <w:outlineLvl w:val="1"/>
        <w:rPr>
          <w:rFonts w:ascii="宋体"/>
          <w:b/>
          <w:bCs/>
        </w:rPr>
      </w:pPr>
      <w:bookmarkStart w:id="48" w:name="_Toc120633486"/>
      <w:bookmarkStart w:id="49" w:name="_Toc237"/>
      <w:bookmarkStart w:id="50" w:name="_Toc6842"/>
      <w:r>
        <w:rPr>
          <w:rFonts w:hint="eastAsia" w:ascii="宋体" w:hAnsi="宋体" w:cs="宋体"/>
          <w:sz w:val="28"/>
          <w:szCs w:val="28"/>
        </w:rPr>
        <w:t>日期：年月日</w:t>
      </w:r>
      <w:bookmarkEnd w:id="48"/>
      <w:r>
        <w:rPr>
          <w:rFonts w:ascii="宋体"/>
          <w:b/>
          <w:bCs/>
        </w:rPr>
        <w:br w:type="page"/>
      </w:r>
      <w:bookmarkEnd w:id="49"/>
      <w:bookmarkEnd w:id="50"/>
    </w:p>
    <w:p>
      <w:pPr>
        <w:spacing w:line="520" w:lineRule="exact"/>
        <w:jc w:val="center"/>
        <w:rPr>
          <w:rFonts w:ascii="宋体" w:hAnsi="宋体"/>
          <w:b/>
          <w:sz w:val="36"/>
          <w:szCs w:val="36"/>
        </w:rPr>
      </w:pPr>
      <w:bookmarkStart w:id="51" w:name="_Toc509218855"/>
      <w:bookmarkStart w:id="52" w:name="_Toc534185832"/>
      <w:bookmarkStart w:id="53" w:name="_Toc14319"/>
      <w:bookmarkStart w:id="54" w:name="_Toc219178931"/>
      <w:r>
        <w:rPr>
          <w:rFonts w:hint="eastAsia" w:ascii="宋体" w:hAnsi="宋体"/>
          <w:b/>
          <w:sz w:val="36"/>
          <w:szCs w:val="36"/>
        </w:rPr>
        <w:t>目录</w:t>
      </w:r>
    </w:p>
    <w:p>
      <w:pPr>
        <w:pStyle w:val="3"/>
      </w:pPr>
      <w:r>
        <w:rPr>
          <w:rFonts w:hint="eastAsia"/>
        </w:rPr>
        <w:t>（格式自拟）</w:t>
      </w:r>
    </w:p>
    <w:p>
      <w:pPr>
        <w:jc w:val="left"/>
        <w:rPr>
          <w:rFonts w:ascii="宋体" w:hAnsi="宋体"/>
          <w:b/>
          <w:sz w:val="36"/>
          <w:szCs w:val="36"/>
        </w:rPr>
      </w:pPr>
      <w:r>
        <w:rPr>
          <w:rFonts w:hint="eastAsia" w:ascii="宋体" w:hAnsi="宋体"/>
          <w:b/>
          <w:sz w:val="36"/>
          <w:szCs w:val="36"/>
        </w:rPr>
        <w:br w:type="page"/>
      </w:r>
    </w:p>
    <w:p>
      <w:pPr>
        <w:spacing w:line="520" w:lineRule="exact"/>
        <w:jc w:val="center"/>
        <w:rPr>
          <w:b/>
          <w:snapToGrid w:val="0"/>
        </w:rPr>
      </w:pPr>
      <w:r>
        <w:rPr>
          <w:rFonts w:hint="eastAsia" w:ascii="宋体" w:hAnsi="宋体"/>
          <w:b/>
          <w:sz w:val="36"/>
          <w:szCs w:val="36"/>
        </w:rPr>
        <w:t>比选申请函</w:t>
      </w:r>
    </w:p>
    <w:p>
      <w:pPr>
        <w:tabs>
          <w:tab w:val="left" w:pos="7140"/>
          <w:tab w:val="left" w:pos="7560"/>
          <w:tab w:val="left" w:pos="8300"/>
        </w:tabs>
        <w:autoSpaceDE w:val="0"/>
        <w:autoSpaceDN w:val="0"/>
        <w:adjustRightInd w:val="0"/>
        <w:snapToGrid w:val="0"/>
        <w:spacing w:line="520" w:lineRule="exact"/>
        <w:ind w:right="210"/>
        <w:rPr>
          <w:rFonts w:ascii="宋体" w:hAnsi="宋体"/>
        </w:rPr>
      </w:pPr>
      <w:r>
        <w:rPr>
          <w:rFonts w:hint="eastAsia" w:ascii="宋体" w:hAnsi="宋体"/>
        </w:rPr>
        <w:t>致：重庆国际投资咨询集团有限公司（比选人名称）</w:t>
      </w:r>
    </w:p>
    <w:p>
      <w:pPr>
        <w:spacing w:line="360" w:lineRule="auto"/>
        <w:ind w:firstLine="420" w:firstLineChars="200"/>
        <w:rPr>
          <w:rFonts w:ascii="宋体" w:hAnsi="宋体"/>
          <w:u w:val="single"/>
        </w:rPr>
      </w:pPr>
      <w:r>
        <w:rPr>
          <w:rFonts w:hint="eastAsia" w:ascii="宋体" w:hAnsi="宋体"/>
        </w:rPr>
        <w:t>1.我们已经仔细地研究了</w:t>
      </w:r>
      <w:r>
        <w:rPr>
          <w:rFonts w:hint="eastAsia" w:ascii="宋体" w:hAnsi="宋体" w:cs="宋体"/>
          <w:u w:val="single"/>
        </w:rPr>
        <w:t>重咨集团网络与信息安全技术服务采购</w:t>
      </w:r>
      <w:r>
        <w:rPr>
          <w:rFonts w:hint="eastAsia" w:ascii="宋体" w:hAnsi="宋体"/>
          <w:u w:val="single"/>
        </w:rPr>
        <w:t>（项目名称）</w:t>
      </w:r>
      <w:r>
        <w:rPr>
          <w:rFonts w:hint="eastAsia" w:ascii="宋体" w:hAnsi="宋体"/>
        </w:rPr>
        <w:t>的全部内容，包括但不限于比选文件、合同条款以及全部答疑补遗和澄清文件。我们已了解全部竞争性比选文件，并完全理解了竞争性比选文件规定的</w:t>
      </w:r>
      <w:r>
        <w:rPr>
          <w:rFonts w:hint="eastAsia" w:ascii="宋体" w:hAnsi="宋体" w:cs="宋体"/>
          <w:u w:val="single"/>
        </w:rPr>
        <w:t>重咨集团网络与信息安全技术服务采购</w:t>
      </w:r>
      <w:r>
        <w:rPr>
          <w:rFonts w:hint="eastAsia" w:ascii="宋体" w:hAnsi="宋体"/>
          <w:u w:val="single"/>
        </w:rPr>
        <w:t>（项目名称）</w:t>
      </w:r>
      <w:r>
        <w:rPr>
          <w:rFonts w:hint="eastAsia" w:ascii="宋体" w:hAnsi="宋体"/>
        </w:rPr>
        <w:t>的合同范围、工作要求，并考虑到了潜在所有风险。据此，我们承诺</w:t>
      </w:r>
      <w:r>
        <w:rPr>
          <w:rFonts w:hint="eastAsia" w:ascii="宋体"/>
        </w:rPr>
        <w:t>所递交的比选申请文件资料内容完整、真实和准确，且完全响应比选人发布的竞争性比选文件、限价及合同条款等附件中的所有内容，不存在弄虚作假情形，</w:t>
      </w:r>
      <w:r>
        <w:rPr>
          <w:rFonts w:hint="eastAsia" w:ascii="宋体" w:hAnsi="宋体" w:cs="宋体"/>
          <w:kern w:val="0"/>
        </w:rPr>
        <w:t>比选申请文件不附有比选人不能接受的条件</w:t>
      </w:r>
      <w:r>
        <w:rPr>
          <w:rFonts w:hint="eastAsia" w:ascii="宋体" w:hAnsi="宋体"/>
        </w:rPr>
        <w:t>。</w:t>
      </w:r>
    </w:p>
    <w:p>
      <w:pPr>
        <w:snapToGrid w:val="0"/>
        <w:spacing w:line="520" w:lineRule="exact"/>
        <w:rPr>
          <w:rFonts w:ascii="宋体" w:hAnsi="宋体"/>
        </w:rPr>
      </w:pPr>
      <w:r>
        <w:rPr>
          <w:rFonts w:hint="eastAsia" w:ascii="宋体" w:hAnsi="宋体"/>
        </w:rPr>
        <w:t xml:space="preserve">    2.据此，我方承诺本项目比选申请报价为：</w:t>
      </w:r>
      <w:r>
        <w:rPr>
          <w:rFonts w:hint="eastAsia" w:ascii="宋体" w:hAnsi="宋体"/>
          <w:u w:val="single"/>
        </w:rPr>
        <w:t xml:space="preserve">       元，（大写：     ）</w:t>
      </w:r>
      <w:r>
        <w:rPr>
          <w:rFonts w:hint="eastAsia" w:ascii="宋体" w:hAnsi="宋体"/>
        </w:rPr>
        <w:t>。（报价保留小数点后两位）。</w:t>
      </w:r>
    </w:p>
    <w:p>
      <w:pPr>
        <w:snapToGrid w:val="0"/>
        <w:spacing w:line="520" w:lineRule="exact"/>
        <w:ind w:firstLine="420" w:firstLineChars="200"/>
        <w:rPr>
          <w:rFonts w:ascii="宋体" w:hAnsi="宋体"/>
        </w:rPr>
      </w:pPr>
      <w:r>
        <w:rPr>
          <w:rFonts w:hint="eastAsia" w:ascii="宋体" w:hAnsi="宋体"/>
        </w:rPr>
        <w:t>3.我们同意在从规定的递交比选申请文件截止之日起到比选有效期满前遵守本比选申请文件。且本比选申请文件一直对我们具有约束力，并可随时被接受中选。</w:t>
      </w:r>
    </w:p>
    <w:p>
      <w:pPr>
        <w:snapToGrid w:val="0"/>
        <w:spacing w:line="520" w:lineRule="exact"/>
        <w:ind w:firstLine="420" w:firstLineChars="200"/>
        <w:rPr>
          <w:rFonts w:ascii="宋体" w:hAnsi="宋体"/>
        </w:rPr>
      </w:pPr>
      <w:r>
        <w:rPr>
          <w:rFonts w:hint="eastAsia" w:ascii="宋体" w:hAnsi="宋体"/>
        </w:rPr>
        <w:t>4.如果我们中选，我们将及时签定本项目合同。</w:t>
      </w:r>
    </w:p>
    <w:p>
      <w:pPr>
        <w:snapToGrid w:val="0"/>
        <w:spacing w:line="520" w:lineRule="exact"/>
        <w:ind w:firstLine="420" w:firstLineChars="200"/>
        <w:rPr>
          <w:rFonts w:ascii="宋体" w:hAnsi="宋体" w:cs="MingLiU"/>
          <w:snapToGrid w:val="0"/>
        </w:rPr>
      </w:pPr>
      <w:r>
        <w:rPr>
          <w:rFonts w:hint="eastAsia" w:ascii="宋体" w:hAnsi="宋体"/>
        </w:rPr>
        <w:t>5.在制定和签署一份正式协议书之前，本比选申请文件连同你方的书面中选通知，构成在我们双方之间有约束力的合同。</w:t>
      </w:r>
    </w:p>
    <w:p>
      <w:pPr>
        <w:snapToGrid w:val="0"/>
        <w:spacing w:line="520" w:lineRule="exact"/>
        <w:ind w:firstLine="420" w:firstLineChars="200"/>
        <w:rPr>
          <w:rFonts w:ascii="宋体" w:hAnsi="宋体" w:cs="MingLiU"/>
          <w:snapToGrid w:val="0"/>
        </w:rPr>
      </w:pPr>
      <w:r>
        <w:rPr>
          <w:rFonts w:hint="eastAsia" w:ascii="宋体" w:hAnsi="宋体" w:cs="MingLiU"/>
          <w:snapToGrid w:val="0"/>
        </w:rPr>
        <w:t>注:</w:t>
      </w:r>
      <w:r>
        <w:rPr>
          <w:rFonts w:hint="eastAsia" w:ascii="宋体" w:hAnsi="宋体" w:cs="宋体"/>
        </w:rPr>
        <w:t>该比选申请报价包括但不限于完成本项目的人工费、材料费（含损耗）、机械费、运输费、装卸车库、措施费、企业管理费及利润、风险费用（包括但不限于可能出现的材料市场波动、政策性调整等因素）、规费、税金等一切费用。</w:t>
      </w:r>
    </w:p>
    <w:p>
      <w:pPr>
        <w:tabs>
          <w:tab w:val="left" w:pos="8300"/>
        </w:tabs>
        <w:autoSpaceDE w:val="0"/>
        <w:autoSpaceDN w:val="0"/>
        <w:adjustRightInd w:val="0"/>
        <w:snapToGrid w:val="0"/>
        <w:spacing w:line="520" w:lineRule="exact"/>
        <w:ind w:right="-20" w:firstLine="3570" w:firstLineChars="1700"/>
        <w:rPr>
          <w:rFonts w:ascii="宋体" w:hAnsi="宋体" w:cs="MingLiU"/>
          <w:snapToGrid w:val="0"/>
        </w:rPr>
      </w:pPr>
    </w:p>
    <w:p>
      <w:pPr>
        <w:tabs>
          <w:tab w:val="left" w:pos="8300"/>
        </w:tabs>
        <w:autoSpaceDE w:val="0"/>
        <w:autoSpaceDN w:val="0"/>
        <w:adjustRightInd w:val="0"/>
        <w:snapToGrid w:val="0"/>
        <w:spacing w:line="520" w:lineRule="exact"/>
        <w:ind w:right="-20" w:firstLine="3570" w:firstLineChars="1700"/>
        <w:rPr>
          <w:rFonts w:ascii="宋体" w:hAnsi="宋体" w:cs="MingLiU"/>
          <w:snapToGrid w:val="0"/>
        </w:rPr>
      </w:pPr>
    </w:p>
    <w:p>
      <w:pPr>
        <w:tabs>
          <w:tab w:val="left" w:pos="8300"/>
        </w:tabs>
        <w:autoSpaceDE w:val="0"/>
        <w:autoSpaceDN w:val="0"/>
        <w:adjustRightInd w:val="0"/>
        <w:snapToGrid w:val="0"/>
        <w:spacing w:line="520" w:lineRule="exact"/>
        <w:ind w:right="-20" w:firstLine="3570" w:firstLineChars="1700"/>
        <w:rPr>
          <w:rFonts w:ascii="宋体" w:hAnsi="宋体" w:cs="MingLiU"/>
          <w:snapToGrid w:val="0"/>
          <w:u w:val="single"/>
        </w:rPr>
      </w:pPr>
      <w:r>
        <w:rPr>
          <w:rFonts w:hint="eastAsia" w:ascii="宋体" w:hAnsi="宋体" w:cs="MingLiU"/>
          <w:snapToGrid w:val="0"/>
          <w:u w:val="single"/>
        </w:rPr>
        <w:t xml:space="preserve">比选申请人：（盖章）         </w:t>
      </w:r>
    </w:p>
    <w:p>
      <w:pPr>
        <w:tabs>
          <w:tab w:val="left" w:pos="8300"/>
        </w:tabs>
        <w:autoSpaceDE w:val="0"/>
        <w:autoSpaceDN w:val="0"/>
        <w:adjustRightInd w:val="0"/>
        <w:snapToGrid w:val="0"/>
        <w:spacing w:line="520" w:lineRule="exact"/>
        <w:ind w:right="-20" w:firstLine="3150" w:firstLineChars="1500"/>
        <w:rPr>
          <w:rFonts w:ascii="宋体" w:hAnsi="宋体" w:cs="MingLiU"/>
          <w:snapToGrid w:val="0"/>
          <w:u w:val="single"/>
        </w:rPr>
      </w:pPr>
      <w:r>
        <w:rPr>
          <w:rFonts w:hint="eastAsia" w:ascii="宋体" w:hAnsi="宋体" w:cs="MingLiU"/>
          <w:snapToGrid w:val="0"/>
          <w:u w:val="single"/>
        </w:rPr>
        <w:t xml:space="preserve">法定代表人或授权代表签字：（签名或盖章）  </w:t>
      </w:r>
    </w:p>
    <w:p>
      <w:pPr>
        <w:spacing w:line="520" w:lineRule="exact"/>
        <w:ind w:firstLine="5670" w:firstLineChars="2700"/>
        <w:rPr>
          <w:rFonts w:ascii="宋体" w:hAnsi="宋体" w:cs="MingLiU"/>
          <w:snapToGrid w:val="0"/>
          <w:u w:val="single"/>
        </w:rPr>
      </w:pPr>
      <w:r>
        <w:rPr>
          <w:rFonts w:hint="eastAsia" w:ascii="宋体" w:hAnsi="宋体" w:cs="MingLiU"/>
          <w:snapToGrid w:val="0"/>
          <w:u w:val="single"/>
        </w:rPr>
        <w:t xml:space="preserve">     年   月   日</w:t>
      </w:r>
    </w:p>
    <w:p>
      <w:pPr>
        <w:spacing w:line="360" w:lineRule="auto"/>
        <w:rPr>
          <w:rFonts w:ascii="华文细黑" w:hAnsi="华文细黑" w:eastAsia="华文细黑" w:cs="华文细黑"/>
          <w:sz w:val="24"/>
        </w:rPr>
      </w:pPr>
    </w:p>
    <w:p>
      <w:pPr>
        <w:pStyle w:val="13"/>
        <w:ind w:firstLine="480"/>
        <w:rPr>
          <w:rFonts w:ascii="华文细黑" w:hAnsi="华文细黑" w:eastAsia="华文细黑" w:cs="华文细黑"/>
          <w:sz w:val="24"/>
        </w:rPr>
      </w:pPr>
    </w:p>
    <w:p>
      <w:pPr>
        <w:pStyle w:val="13"/>
        <w:ind w:firstLine="480"/>
        <w:rPr>
          <w:rFonts w:ascii="华文细黑" w:hAnsi="华文细黑" w:eastAsia="华文细黑" w:cs="华文细黑"/>
          <w:sz w:val="24"/>
        </w:rPr>
      </w:pPr>
    </w:p>
    <w:bookmarkEnd w:id="51"/>
    <w:bookmarkEnd w:id="52"/>
    <w:bookmarkEnd w:id="53"/>
    <w:p>
      <w:pPr>
        <w:spacing w:line="360" w:lineRule="auto"/>
        <w:rPr>
          <w:rFonts w:ascii="宋体"/>
        </w:rPr>
      </w:pPr>
    </w:p>
    <w:p>
      <w:pPr>
        <w:pStyle w:val="2"/>
        <w:ind w:firstLine="0"/>
        <w:sectPr>
          <w:footerReference r:id="rId4" w:type="default"/>
          <w:pgSz w:w="11906" w:h="16838"/>
          <w:pgMar w:top="1276" w:right="1162" w:bottom="1135" w:left="1134" w:header="851" w:footer="992" w:gutter="0"/>
          <w:pgNumType w:start="1"/>
          <w:cols w:space="720" w:num="1"/>
          <w:titlePg/>
          <w:docGrid w:type="lines" w:linePitch="312" w:charSpace="0"/>
        </w:sectPr>
      </w:pPr>
    </w:p>
    <w:p>
      <w:pPr>
        <w:pStyle w:val="3"/>
        <w:jc w:val="center"/>
        <w:rPr>
          <w:b/>
          <w:sz w:val="36"/>
          <w:szCs w:val="36"/>
        </w:rPr>
      </w:pPr>
      <w:r>
        <w:rPr>
          <w:rFonts w:hint="eastAsia"/>
          <w:b/>
          <w:sz w:val="36"/>
          <w:szCs w:val="36"/>
        </w:rPr>
        <w:t>服务需求响应偏离表</w:t>
      </w:r>
    </w:p>
    <w:tbl>
      <w:tblPr>
        <w:tblStyle w:val="37"/>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450"/>
        <w:gridCol w:w="7605"/>
        <w:gridCol w:w="1365"/>
        <w:gridCol w:w="154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line="400" w:lineRule="exact"/>
              <w:jc w:val="center"/>
              <w:rPr>
                <w:rFonts w:ascii="宋体" w:hAnsi="宋体" w:cs="宋体"/>
              </w:rPr>
            </w:pPr>
            <w:r>
              <w:rPr>
                <w:rFonts w:hint="eastAsia" w:ascii="宋体" w:hAnsi="宋体" w:cs="宋体"/>
              </w:rPr>
              <w:t>序号</w:t>
            </w:r>
          </w:p>
        </w:tc>
        <w:tc>
          <w:tcPr>
            <w:tcW w:w="833" w:type="pct"/>
            <w:vAlign w:val="center"/>
          </w:tcPr>
          <w:p>
            <w:pPr>
              <w:adjustRightInd w:val="0"/>
              <w:snapToGrid w:val="0"/>
              <w:spacing w:line="400" w:lineRule="exact"/>
              <w:jc w:val="center"/>
              <w:rPr>
                <w:rFonts w:ascii="宋体" w:hAnsi="宋体" w:cs="宋体"/>
              </w:rPr>
            </w:pPr>
            <w:r>
              <w:rPr>
                <w:rFonts w:hint="eastAsia" w:ascii="宋体" w:hAnsi="宋体" w:cs="宋体"/>
              </w:rPr>
              <w:t>项目名称</w:t>
            </w:r>
          </w:p>
        </w:tc>
        <w:tc>
          <w:tcPr>
            <w:tcW w:w="2586" w:type="pct"/>
            <w:vAlign w:val="center"/>
          </w:tcPr>
          <w:p>
            <w:pPr>
              <w:adjustRightInd w:val="0"/>
              <w:snapToGrid w:val="0"/>
              <w:spacing w:line="400" w:lineRule="exact"/>
              <w:jc w:val="center"/>
              <w:rPr>
                <w:rFonts w:ascii="宋体" w:hAnsi="宋体" w:cs="宋体"/>
              </w:rPr>
            </w:pPr>
            <w:r>
              <w:rPr>
                <w:rFonts w:hint="eastAsia" w:ascii="宋体" w:hAnsi="宋体" w:cs="宋体"/>
              </w:rPr>
              <w:t>服务内容</w:t>
            </w:r>
          </w:p>
        </w:tc>
        <w:tc>
          <w:tcPr>
            <w:tcW w:w="464" w:type="pct"/>
            <w:vAlign w:val="center"/>
          </w:tcPr>
          <w:p>
            <w:pPr>
              <w:adjustRightInd w:val="0"/>
              <w:snapToGrid w:val="0"/>
              <w:spacing w:line="400" w:lineRule="exact"/>
              <w:jc w:val="center"/>
              <w:rPr>
                <w:rFonts w:ascii="宋体" w:hAnsi="宋体" w:cs="宋体"/>
              </w:rPr>
            </w:pPr>
            <w:r>
              <w:rPr>
                <w:rFonts w:hint="eastAsia" w:ascii="宋体" w:hAnsi="宋体" w:cs="宋体"/>
              </w:rPr>
              <w:t>数量/期限</w:t>
            </w:r>
          </w:p>
        </w:tc>
        <w:tc>
          <w:tcPr>
            <w:tcW w:w="526" w:type="pct"/>
            <w:vAlign w:val="center"/>
          </w:tcPr>
          <w:p>
            <w:pPr>
              <w:adjustRightInd w:val="0"/>
              <w:snapToGrid w:val="0"/>
              <w:spacing w:line="400" w:lineRule="exact"/>
              <w:jc w:val="center"/>
              <w:rPr>
                <w:rFonts w:ascii="宋体" w:hAnsi="宋体" w:cs="宋体"/>
              </w:rPr>
            </w:pPr>
            <w:r>
              <w:rPr>
                <w:rFonts w:hint="eastAsia" w:ascii="宋体" w:hAnsi="宋体" w:cs="宋体"/>
              </w:rPr>
              <w:t>响应/偏离</w:t>
            </w:r>
          </w:p>
        </w:tc>
        <w:tc>
          <w:tcPr>
            <w:tcW w:w="367" w:type="pct"/>
            <w:vAlign w:val="center"/>
          </w:tcPr>
          <w:p>
            <w:pPr>
              <w:adjustRightInd w:val="0"/>
              <w:snapToGrid w:val="0"/>
              <w:spacing w:line="400" w:lineRule="exact"/>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安全基础梳理和摸底★</w:t>
            </w:r>
          </w:p>
        </w:tc>
        <w:tc>
          <w:tcPr>
            <w:tcW w:w="2586"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1、主要以管理和技术的手段，通过调研、上机查验等方式，摸清集团在管理制度和安全防护方面的现状、问题，并进行一次漏洞问题排查。</w:t>
            </w:r>
          </w:p>
          <w:p>
            <w:pPr>
              <w:adjustRightInd w:val="0"/>
              <w:snapToGrid w:val="0"/>
              <w:spacing w:before="187" w:after="187" w:line="400" w:lineRule="exact"/>
              <w:jc w:val="left"/>
              <w:rPr>
                <w:rFonts w:ascii="宋体" w:hAnsi="宋体" w:cs="宋体"/>
              </w:rPr>
            </w:pPr>
            <w:r>
              <w:rPr>
                <w:rFonts w:hint="eastAsia" w:ascii="宋体" w:hAnsi="宋体" w:cs="宋体"/>
              </w:rPr>
              <w:t>2、出具《重咨集团网络信息和数据安全管理制度清单》《重咨集团制度运行问题及差距清单》；《重咨集团信息化资产清单》《重咨集团应用系统清单》《重咨集团安全防护策略问题清单》；《漏洞扫描报告》、《基线核查报告》、《渗透测试报告》。</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1次/年</w:t>
            </w:r>
          </w:p>
        </w:tc>
        <w:tc>
          <w:tcPr>
            <w:tcW w:w="526" w:type="pct"/>
            <w:vAlign w:val="center"/>
          </w:tcPr>
          <w:p>
            <w:pPr>
              <w:adjustRightInd w:val="0"/>
              <w:snapToGrid w:val="0"/>
              <w:spacing w:line="400" w:lineRule="exact"/>
              <w:jc w:val="center"/>
              <w:rPr>
                <w:rFonts w:ascii="宋体" w:hAnsi="宋体" w:cs="宋体"/>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网络与信息安全风险评估★</w:t>
            </w:r>
          </w:p>
        </w:tc>
        <w:tc>
          <w:tcPr>
            <w:tcW w:w="2586"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1、根据《中国人民共和国网络安全法》、等级保护制度要求，以及《信息安全技术 信息安全风险评估方法》（GB/T 20984-2022）等评估标准，对重咨集团进行包括物理安全、人员安全、管理安全、建设安全、运维安全、应用安全等的综合性安全风险评估，以识别集团自身在网络与信息安全管理、建设、运维、运营过程中的脆弱性及面临的风险，对风险进行定级并提出风险处理建议，协助重咨集团建立整改流程、跟踪机制，清晰掌握系统安全整改进度、效果、总体情况。</w:t>
            </w:r>
          </w:p>
          <w:p>
            <w:pPr>
              <w:adjustRightInd w:val="0"/>
              <w:snapToGrid w:val="0"/>
              <w:spacing w:before="187" w:after="187" w:line="400" w:lineRule="exact"/>
              <w:jc w:val="left"/>
              <w:rPr>
                <w:rFonts w:ascii="宋体" w:hAnsi="宋体" w:cs="宋体"/>
              </w:rPr>
            </w:pPr>
            <w:r>
              <w:rPr>
                <w:rFonts w:hint="eastAsia" w:ascii="宋体" w:hAnsi="宋体" w:cs="宋体"/>
              </w:rPr>
              <w:t>2、输出《重咨集团网络与信息安全风险评估问题单》、《重咨集团网络与信息安全风险评估报告》。</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1次/年</w:t>
            </w:r>
          </w:p>
        </w:tc>
        <w:tc>
          <w:tcPr>
            <w:tcW w:w="526" w:type="pct"/>
            <w:vAlign w:val="center"/>
          </w:tcPr>
          <w:p>
            <w:pPr>
              <w:adjustRightInd w:val="0"/>
              <w:snapToGrid w:val="0"/>
              <w:spacing w:line="400" w:lineRule="exact"/>
              <w:jc w:val="center"/>
              <w:rPr>
                <w:rFonts w:ascii="宋体" w:hAnsi="宋体" w:cs="宋体"/>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3</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数据安全风险评估★</w:t>
            </w:r>
          </w:p>
        </w:tc>
        <w:tc>
          <w:tcPr>
            <w:tcW w:w="2586"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根据《中华人民共和国数据安全法》、《重庆市数据条例》等法律法规和文件要求，对重咨集团本部的数据资产梳理以及重要信息系统进行数据安全风险评估，协助集团对数据资产分类分级管理、全生命周期安全防护等方面的完善，包括但不限于数据安全管理制度完善、数据资产梳理、数据分类分级、数据处理活动分析、数据全生命周期安全性防护分析。</w:t>
            </w:r>
          </w:p>
          <w:p>
            <w:pPr>
              <w:adjustRightInd w:val="0"/>
              <w:snapToGrid w:val="0"/>
              <w:spacing w:before="187" w:after="187" w:line="400" w:lineRule="exact"/>
              <w:jc w:val="left"/>
              <w:rPr>
                <w:rFonts w:ascii="宋体" w:hAnsi="宋体" w:cs="宋体"/>
              </w:rPr>
            </w:pPr>
            <w:r>
              <w:rPr>
                <w:rFonts w:hint="eastAsia" w:ascii="宋体" w:hAnsi="宋体" w:cs="宋体"/>
              </w:rPr>
              <w:t>2、输出《重咨集团数据资产清单及分类分级目录》、《重咨集团xx系统数据安全风险评估报告》。</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1次/年</w:t>
            </w:r>
          </w:p>
        </w:tc>
        <w:tc>
          <w:tcPr>
            <w:tcW w:w="526" w:type="pct"/>
            <w:vAlign w:val="center"/>
          </w:tcPr>
          <w:p>
            <w:pPr>
              <w:adjustRightInd w:val="0"/>
              <w:snapToGrid w:val="0"/>
              <w:spacing w:line="400" w:lineRule="exact"/>
              <w:jc w:val="center"/>
              <w:rPr>
                <w:rFonts w:ascii="宋体" w:hAnsi="宋体" w:cs="宋体"/>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4</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安全加固★</w:t>
            </w:r>
          </w:p>
        </w:tc>
        <w:tc>
          <w:tcPr>
            <w:tcW w:w="2586"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对在安全评估梳理、定期扫描、渗透测试、等保测评、安全检查中发现的漏洞进行安全加固，指导管理员，协助系统建设单位完成加固，并对加固完成情况进行验证把关。输出《重咨集团安全加固报告》。</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2次/年</w:t>
            </w:r>
          </w:p>
        </w:tc>
        <w:tc>
          <w:tcPr>
            <w:tcW w:w="526" w:type="pct"/>
            <w:vAlign w:val="center"/>
          </w:tcPr>
          <w:p>
            <w:pPr>
              <w:adjustRightInd w:val="0"/>
              <w:snapToGrid w:val="0"/>
              <w:spacing w:line="400" w:lineRule="exact"/>
              <w:jc w:val="center"/>
              <w:rPr>
                <w:rFonts w:ascii="宋体" w:hAnsi="宋体" w:cs="宋体"/>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ascii="宋体" w:hAnsi="宋体" w:cs="宋体"/>
              </w:rPr>
              <w:t>5</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定期扫描服务★</w:t>
            </w:r>
          </w:p>
        </w:tc>
        <w:tc>
          <w:tcPr>
            <w:tcW w:w="2586" w:type="pct"/>
            <w:vAlign w:val="center"/>
          </w:tcPr>
          <w:p>
            <w:pPr>
              <w:adjustRightInd w:val="0"/>
              <w:snapToGrid w:val="0"/>
              <w:spacing w:before="187" w:after="187" w:line="400" w:lineRule="exact"/>
              <w:jc w:val="left"/>
              <w:rPr>
                <w:rFonts w:ascii="宋体" w:hAnsi="宋体" w:cs="宋体"/>
              </w:rPr>
            </w:pPr>
            <w:r>
              <w:rPr>
                <w:rFonts w:ascii="宋体" w:hAnsi="宋体" w:cs="宋体"/>
              </w:rPr>
              <w:t>1</w:t>
            </w:r>
            <w:r>
              <w:rPr>
                <w:rFonts w:hint="eastAsia" w:ascii="宋体" w:hAnsi="宋体" w:cs="宋体"/>
              </w:rPr>
              <w:t>、对重咨集团基础网络单元、安全设备和主要信息系统，每月进行安全扫描。针对发现的安全问题提供整改建议，出具《重咨集团网络安全漏扫报告》。</w:t>
            </w:r>
          </w:p>
          <w:p>
            <w:pPr>
              <w:adjustRightInd w:val="0"/>
              <w:snapToGrid w:val="0"/>
              <w:spacing w:before="187" w:after="187" w:line="400" w:lineRule="exact"/>
              <w:jc w:val="left"/>
              <w:rPr>
                <w:rFonts w:ascii="宋体" w:hAnsi="宋体" w:cs="宋体"/>
              </w:rPr>
            </w:pPr>
            <w:r>
              <w:rPr>
                <w:rFonts w:ascii="宋体" w:hAnsi="宋体" w:cs="宋体"/>
              </w:rPr>
              <w:t>2</w:t>
            </w:r>
            <w:r>
              <w:rPr>
                <w:rFonts w:hint="eastAsia" w:ascii="宋体" w:hAnsi="宋体" w:cs="宋体"/>
              </w:rPr>
              <w:t>、针对扫描发现的安全隐患，协助重咨集团建立整改跟踪机制，规范整改行为，协助整改安全隐患，让集团能清晰掌握系统安全整改进度、效果、总体情况，按季度输出漏扫分析报告《重咨集团XX季度漏洞扫描分析报告》。</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1次/月，共12次</w:t>
            </w:r>
          </w:p>
        </w:tc>
        <w:tc>
          <w:tcPr>
            <w:tcW w:w="526" w:type="pct"/>
            <w:vAlign w:val="center"/>
          </w:tcPr>
          <w:p>
            <w:pPr>
              <w:adjustRightInd w:val="0"/>
              <w:snapToGrid w:val="0"/>
              <w:spacing w:line="400" w:lineRule="exact"/>
              <w:jc w:val="center"/>
              <w:rPr>
                <w:rFonts w:ascii="宋体" w:hAnsi="宋体" w:cs="宋体"/>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ascii="宋体" w:hAnsi="宋体" w:cs="宋体"/>
              </w:rPr>
              <w:t>6</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定期渗透服务★</w:t>
            </w:r>
          </w:p>
        </w:tc>
        <w:tc>
          <w:tcPr>
            <w:tcW w:w="2586"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1、按约定周期开展渗透测试服务，对重咨集团重要信息系统，定期进行安全渗透测试。针对发现的安全问题提供整改建议，出具《重咨集团xx系统渗透测试报告》。</w:t>
            </w:r>
          </w:p>
          <w:p>
            <w:pPr>
              <w:adjustRightInd w:val="0"/>
              <w:snapToGrid w:val="0"/>
              <w:spacing w:before="187" w:after="187" w:line="400" w:lineRule="exact"/>
              <w:jc w:val="left"/>
              <w:rPr>
                <w:rFonts w:ascii="宋体" w:hAnsi="宋体" w:cs="宋体"/>
              </w:rPr>
            </w:pPr>
            <w:r>
              <w:rPr>
                <w:rFonts w:hint="eastAsia" w:ascii="宋体" w:hAnsi="宋体" w:cs="宋体"/>
              </w:rPr>
              <w:t>2、针对渗透发现的安全隐患，协助重咨集团建立整改跟踪机制，规范整改行为，协助整改安全隐患，让重咨集团能清晰掌握系统安全整改进度、效果、总体情况。服务完输出渗透分析报告《重咨集团渗透测试分析报告》。</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1次/季度，共4次</w:t>
            </w:r>
          </w:p>
        </w:tc>
        <w:tc>
          <w:tcPr>
            <w:tcW w:w="526" w:type="pct"/>
            <w:vAlign w:val="center"/>
          </w:tcPr>
          <w:p>
            <w:pPr>
              <w:adjustRightInd w:val="0"/>
              <w:snapToGrid w:val="0"/>
              <w:spacing w:line="400" w:lineRule="exact"/>
              <w:jc w:val="center"/>
              <w:rPr>
                <w:rFonts w:hint="eastAsia" w:ascii="宋体" w:hAnsi="宋体" w:cs="宋体"/>
                <w:i/>
                <w:iCs/>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7</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安全策略优化★</w:t>
            </w:r>
          </w:p>
        </w:tc>
        <w:tc>
          <w:tcPr>
            <w:tcW w:w="2586"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对重要的网络安全设备进行策略核查，根据应用系统的环境对策略进行优化调整，输出《重咨集团策略优化报告》。</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2次/年</w:t>
            </w:r>
          </w:p>
        </w:tc>
        <w:tc>
          <w:tcPr>
            <w:tcW w:w="526" w:type="pct"/>
            <w:vAlign w:val="center"/>
          </w:tcPr>
          <w:p>
            <w:pPr>
              <w:adjustRightInd w:val="0"/>
              <w:snapToGrid w:val="0"/>
              <w:spacing w:line="400" w:lineRule="exact"/>
              <w:jc w:val="center"/>
              <w:rPr>
                <w:rFonts w:hint="eastAsia" w:ascii="宋体" w:hAnsi="宋体" w:cs="宋体"/>
                <w:i/>
                <w:iCs/>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8</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安全监控服务★</w:t>
            </w:r>
          </w:p>
        </w:tc>
        <w:tc>
          <w:tcPr>
            <w:tcW w:w="2586" w:type="pct"/>
            <w:vAlign w:val="center"/>
          </w:tcPr>
          <w:p>
            <w:pPr>
              <w:adjustRightInd w:val="0"/>
              <w:snapToGrid w:val="0"/>
              <w:spacing w:before="187" w:after="187" w:line="400" w:lineRule="exact"/>
              <w:jc w:val="left"/>
              <w:rPr>
                <w:rFonts w:ascii="宋体" w:hAnsi="宋体" w:cs="宋体"/>
              </w:rPr>
            </w:pPr>
            <w:r>
              <w:rPr>
                <w:rFonts w:ascii="宋体" w:hAnsi="宋体" w:cs="宋体"/>
              </w:rPr>
              <w:t>1</w:t>
            </w:r>
            <w:r>
              <w:rPr>
                <w:rFonts w:hint="eastAsia" w:ascii="宋体" w:hAnsi="宋体" w:cs="宋体"/>
              </w:rPr>
              <w:t>、1年365天7×24小时，至少每隔30分钟一次对重咨集团网站群的网站以及咨采平台网站页面进行安全性、可用性持续监控；有效反馈被监控系统的安全状态，及时发现系统被篡改、被植入恶意代码等、网络故障、服务宕机等安全事件；通过电话实时进行安全事件告警。</w:t>
            </w:r>
          </w:p>
          <w:p>
            <w:pPr>
              <w:adjustRightInd w:val="0"/>
              <w:snapToGrid w:val="0"/>
              <w:spacing w:before="187" w:after="187" w:line="400" w:lineRule="exact"/>
              <w:jc w:val="left"/>
              <w:rPr>
                <w:rFonts w:ascii="宋体" w:hAnsi="宋体" w:cs="宋体"/>
              </w:rPr>
            </w:pPr>
            <w:r>
              <w:rPr>
                <w:rFonts w:hint="eastAsia" w:ascii="宋体" w:hAnsi="宋体" w:cs="宋体"/>
              </w:rPr>
              <w:t>2、每半年输出一次监测分析报告《重咨集团网站安全监测分析报告》。</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1年</w:t>
            </w:r>
          </w:p>
        </w:tc>
        <w:tc>
          <w:tcPr>
            <w:tcW w:w="526" w:type="pct"/>
            <w:vAlign w:val="center"/>
          </w:tcPr>
          <w:p>
            <w:pPr>
              <w:adjustRightInd w:val="0"/>
              <w:snapToGrid w:val="0"/>
              <w:spacing w:line="400" w:lineRule="exact"/>
              <w:jc w:val="center"/>
              <w:rPr>
                <w:rFonts w:hint="eastAsia" w:ascii="宋体" w:hAnsi="宋体" w:cs="宋体"/>
                <w:i/>
                <w:iCs/>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9</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安全培训★</w:t>
            </w:r>
          </w:p>
        </w:tc>
        <w:tc>
          <w:tcPr>
            <w:tcW w:w="2586" w:type="pct"/>
            <w:vAlign w:val="center"/>
          </w:tcPr>
          <w:p>
            <w:pPr>
              <w:adjustRightInd w:val="0"/>
              <w:snapToGrid w:val="0"/>
              <w:spacing w:before="187" w:after="187" w:line="400" w:lineRule="exact"/>
              <w:jc w:val="left"/>
              <w:rPr>
                <w:rFonts w:ascii="宋体" w:hAnsi="宋体" w:cs="宋体"/>
              </w:rPr>
            </w:pPr>
            <w:r>
              <w:rPr>
                <w:rFonts w:ascii="宋体" w:hAnsi="宋体" w:cs="宋体"/>
              </w:rPr>
              <w:t>1</w:t>
            </w:r>
            <w:r>
              <w:rPr>
                <w:rFonts w:hint="eastAsia" w:ascii="宋体" w:hAnsi="宋体" w:cs="宋体"/>
              </w:rPr>
              <w:t>、在服务有效期内提供不少于两次安全培训，并提供培训课件。</w:t>
            </w:r>
          </w:p>
          <w:p>
            <w:pPr>
              <w:adjustRightInd w:val="0"/>
              <w:snapToGrid w:val="0"/>
              <w:spacing w:before="187" w:after="187" w:line="400" w:lineRule="exact"/>
              <w:jc w:val="left"/>
              <w:rPr>
                <w:rFonts w:ascii="宋体" w:hAnsi="宋体" w:cs="宋体"/>
              </w:rPr>
            </w:pPr>
            <w:r>
              <w:rPr>
                <w:rFonts w:hint="eastAsia" w:ascii="宋体" w:hAnsi="宋体" w:cs="宋体"/>
              </w:rPr>
              <w:t>2、针对重咨集团全体员工进行网络安全意识培训，提升集团全员网络与信息安全防范意识，不少于4学时。</w:t>
            </w:r>
          </w:p>
          <w:p>
            <w:pPr>
              <w:adjustRightInd w:val="0"/>
              <w:snapToGrid w:val="0"/>
              <w:spacing w:before="187" w:after="187" w:line="400" w:lineRule="exact"/>
              <w:jc w:val="left"/>
              <w:rPr>
                <w:rFonts w:ascii="宋体" w:hAnsi="宋体" w:cs="宋体"/>
              </w:rPr>
            </w:pPr>
            <w:r>
              <w:rPr>
                <w:rFonts w:ascii="宋体" w:hAnsi="宋体" w:cs="宋体"/>
              </w:rPr>
              <w:t>3</w:t>
            </w:r>
            <w:r>
              <w:rPr>
                <w:rFonts w:hint="eastAsia" w:ascii="宋体" w:hAnsi="宋体" w:cs="宋体"/>
              </w:rPr>
              <w:t>、针对重咨集团的技术人员开展进行网络安全涉及的法律法规、政策规定、网络安全防护基础，安全事件处置、安全基线达标、漏洞扫描及渗透测试等方面的培训。培训后运维人员能够掌握基本信息安全知识和工具使用方法，提升运维人员的安全技能，不少于8学时。</w:t>
            </w:r>
          </w:p>
          <w:p>
            <w:pPr>
              <w:adjustRightInd w:val="0"/>
              <w:snapToGrid w:val="0"/>
              <w:spacing w:before="187" w:after="187" w:line="400" w:lineRule="exact"/>
              <w:jc w:val="left"/>
              <w:rPr>
                <w:rFonts w:ascii="宋体" w:hAnsi="宋体" w:cs="宋体"/>
              </w:rPr>
            </w:pPr>
            <w:r>
              <w:rPr>
                <w:rFonts w:hint="eastAsia" w:ascii="宋体" w:hAnsi="宋体" w:cs="宋体"/>
              </w:rPr>
              <w:t>4、输出《重咨集团安全培训课件》、《安全培训记录》、《安全培训考查记录》。</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2次/年</w:t>
            </w:r>
          </w:p>
        </w:tc>
        <w:tc>
          <w:tcPr>
            <w:tcW w:w="526" w:type="pct"/>
            <w:vAlign w:val="center"/>
          </w:tcPr>
          <w:p>
            <w:pPr>
              <w:adjustRightInd w:val="0"/>
              <w:snapToGrid w:val="0"/>
              <w:spacing w:line="400" w:lineRule="exact"/>
              <w:jc w:val="center"/>
              <w:rPr>
                <w:rFonts w:hint="eastAsia" w:ascii="宋体" w:hAnsi="宋体" w:cs="宋体"/>
                <w:i/>
                <w:iCs/>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ascii="宋体" w:hAnsi="宋体" w:cs="宋体"/>
              </w:rPr>
              <w:t>0</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应急预案及演练★</w:t>
            </w:r>
          </w:p>
        </w:tc>
        <w:tc>
          <w:tcPr>
            <w:tcW w:w="2586"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1、协助完善重咨集团的安全应急预案。</w:t>
            </w:r>
          </w:p>
          <w:p>
            <w:pPr>
              <w:adjustRightInd w:val="0"/>
              <w:snapToGrid w:val="0"/>
              <w:spacing w:before="187" w:after="187" w:line="400" w:lineRule="exact"/>
              <w:jc w:val="left"/>
              <w:rPr>
                <w:rFonts w:ascii="宋体" w:hAnsi="宋体" w:cs="宋体"/>
              </w:rPr>
            </w:pPr>
            <w:r>
              <w:rPr>
                <w:rFonts w:hint="eastAsia" w:ascii="宋体" w:hAnsi="宋体" w:cs="宋体"/>
              </w:rPr>
              <w:t>2、</w:t>
            </w:r>
            <w:r>
              <w:rPr>
                <w:rFonts w:hint="eastAsia" w:ascii="宋体" w:hAnsi="宋体" w:cs="宋体"/>
                <w:lang w:eastAsia="zh-Hans"/>
              </w:rPr>
              <w:t>根据</w:t>
            </w:r>
            <w:r>
              <w:rPr>
                <w:rFonts w:hint="eastAsia" w:ascii="宋体" w:hAnsi="宋体" w:cs="宋体"/>
              </w:rPr>
              <w:t>重咨</w:t>
            </w:r>
            <w:r>
              <w:rPr>
                <w:rFonts w:hint="eastAsia" w:ascii="宋体" w:hAnsi="宋体" w:cs="宋体"/>
                <w:lang w:eastAsia="zh-Hans"/>
              </w:rPr>
              <w:t>集团要求，制定演练计划，编写网络安全应急演练方案，搭建演练环境，安排技术人员到集团</w:t>
            </w:r>
            <w:r>
              <w:rPr>
                <w:rFonts w:hint="eastAsia" w:ascii="宋体" w:hAnsi="宋体" w:cs="宋体"/>
              </w:rPr>
              <w:t>开展现场应急演练，对应急演练存在的不足提出优化建议，协助</w:t>
            </w:r>
            <w:r>
              <w:rPr>
                <w:rFonts w:hint="eastAsia" w:ascii="宋体" w:hAnsi="宋体" w:cs="宋体"/>
                <w:lang w:eastAsia="zh-Hans"/>
              </w:rPr>
              <w:t>集团</w:t>
            </w:r>
            <w:r>
              <w:rPr>
                <w:rFonts w:hint="eastAsia" w:ascii="宋体" w:hAnsi="宋体" w:cs="宋体"/>
              </w:rPr>
              <w:t>提升应对突发网络安全事件的监控能力和处置能力。</w:t>
            </w:r>
          </w:p>
          <w:p>
            <w:pPr>
              <w:adjustRightInd w:val="0"/>
              <w:snapToGrid w:val="0"/>
              <w:spacing w:before="187" w:after="187" w:line="400" w:lineRule="exact"/>
              <w:jc w:val="left"/>
              <w:rPr>
                <w:rFonts w:ascii="宋体" w:hAnsi="宋体" w:cs="宋体"/>
              </w:rPr>
            </w:pPr>
            <w:r>
              <w:rPr>
                <w:rFonts w:ascii="宋体" w:hAnsi="宋体" w:cs="宋体"/>
              </w:rPr>
              <w:t>3</w:t>
            </w:r>
            <w:r>
              <w:rPr>
                <w:rFonts w:hint="eastAsia" w:ascii="宋体" w:hAnsi="宋体" w:cs="宋体"/>
              </w:rPr>
              <w:t>、输出《重咨集团网络与信息安全应急预案》、《重咨集团网络信息与数据安全总体应急预案框架》、《重咨集团XXX事件应急演练方案》、《重咨集团应急演练总结》。</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hint="eastAsia" w:ascii="宋体" w:hAnsi="宋体" w:cs="宋体"/>
                <w:lang w:eastAsia="zh-Hans"/>
              </w:rPr>
              <w:t>次</w:t>
            </w:r>
            <w:r>
              <w:rPr>
                <w:rFonts w:hint="eastAsia" w:ascii="宋体" w:hAnsi="宋体" w:cs="宋体"/>
              </w:rPr>
              <w:t>/年</w:t>
            </w:r>
          </w:p>
        </w:tc>
        <w:tc>
          <w:tcPr>
            <w:tcW w:w="526" w:type="pct"/>
            <w:vAlign w:val="center"/>
          </w:tcPr>
          <w:p>
            <w:pPr>
              <w:adjustRightInd w:val="0"/>
              <w:snapToGrid w:val="0"/>
              <w:spacing w:line="400" w:lineRule="exact"/>
              <w:jc w:val="center"/>
              <w:rPr>
                <w:rFonts w:hint="eastAsia" w:ascii="宋体" w:hAnsi="宋体" w:cs="宋体"/>
                <w:i/>
                <w:iCs/>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ascii="宋体" w:hAnsi="宋体" w:cs="宋体"/>
              </w:rPr>
              <w:t>1</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应急响应★</w:t>
            </w:r>
          </w:p>
        </w:tc>
        <w:tc>
          <w:tcPr>
            <w:tcW w:w="2586"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针对外部黑客入侵、数据泄露、木马病毒等突发安全事件时，进行应急响应处理，避免事态恶化。遇到遭遇攻击或网页被篡改等恶性事件，要求1小时内到达现场，实施有效的紧急救援及恢复补救方案。应急响应服务工作完成后，针对此次事件的问题现象、发生原因以及处理过程，预防措施与建议进行总结报告。出具《重咨集团网络安全应急响应报告》。</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不限次</w:t>
            </w:r>
          </w:p>
        </w:tc>
        <w:tc>
          <w:tcPr>
            <w:tcW w:w="526" w:type="pct"/>
            <w:vAlign w:val="center"/>
          </w:tcPr>
          <w:p>
            <w:pPr>
              <w:adjustRightInd w:val="0"/>
              <w:snapToGrid w:val="0"/>
              <w:spacing w:line="400" w:lineRule="exact"/>
              <w:jc w:val="center"/>
              <w:rPr>
                <w:rFonts w:hint="eastAsia" w:ascii="宋体" w:hAnsi="宋体" w:cs="宋体"/>
                <w:i/>
                <w:iCs/>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ascii="宋体" w:hAnsi="宋体" w:cs="宋体"/>
              </w:rPr>
              <w:t>2</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安全检查服务★</w:t>
            </w:r>
          </w:p>
        </w:tc>
        <w:tc>
          <w:tcPr>
            <w:tcW w:w="2586"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在接受网络安全主管部门检查或上级部门开展网络安全检查期间的自查、差距分析、整改及陪同检查服务、相关工作配合服务。</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不限次</w:t>
            </w:r>
          </w:p>
        </w:tc>
        <w:tc>
          <w:tcPr>
            <w:tcW w:w="526" w:type="pct"/>
            <w:vAlign w:val="center"/>
          </w:tcPr>
          <w:p>
            <w:pPr>
              <w:adjustRightInd w:val="0"/>
              <w:snapToGrid w:val="0"/>
              <w:spacing w:line="400" w:lineRule="exact"/>
              <w:jc w:val="center"/>
              <w:rPr>
                <w:rFonts w:hint="eastAsia" w:ascii="宋体" w:hAnsi="宋体" w:cs="宋体"/>
                <w:i/>
                <w:iCs/>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adjustRightInd w:val="0"/>
              <w:snapToGrid w:val="0"/>
              <w:spacing w:before="187" w:after="187" w:line="400" w:lineRule="exact"/>
              <w:jc w:val="center"/>
              <w:rPr>
                <w:rFonts w:ascii="宋体" w:hAnsi="宋体" w:cs="宋体"/>
              </w:rPr>
            </w:pPr>
            <w:r>
              <w:rPr>
                <w:rFonts w:ascii="宋体" w:hAnsi="宋体" w:cs="宋体"/>
              </w:rPr>
              <w:t>13</w:t>
            </w:r>
          </w:p>
        </w:tc>
        <w:tc>
          <w:tcPr>
            <w:tcW w:w="833"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网络与信息安全专业人员驻场服务★</w:t>
            </w:r>
          </w:p>
        </w:tc>
        <w:tc>
          <w:tcPr>
            <w:tcW w:w="2586" w:type="pct"/>
            <w:vAlign w:val="center"/>
          </w:tcPr>
          <w:p>
            <w:pPr>
              <w:adjustRightInd w:val="0"/>
              <w:snapToGrid w:val="0"/>
              <w:spacing w:before="187" w:after="187" w:line="400" w:lineRule="exact"/>
              <w:jc w:val="left"/>
            </w:pPr>
            <w:r>
              <w:rPr>
                <w:rFonts w:hint="eastAsia" w:ascii="宋体" w:hAnsi="宋体" w:cs="宋体"/>
              </w:rPr>
              <w:t>派遣</w:t>
            </w:r>
            <w:r>
              <w:rPr>
                <w:rFonts w:ascii="宋体" w:hAnsi="宋体" w:cs="宋体"/>
              </w:rPr>
              <w:t>1</w:t>
            </w:r>
            <w:r>
              <w:rPr>
                <w:rFonts w:hint="eastAsia" w:ascii="宋体" w:hAnsi="宋体" w:cs="宋体"/>
              </w:rPr>
              <w:t>位具有多年网络与信息安全行业工作经历的</w:t>
            </w:r>
            <w:r>
              <w:rPr>
                <w:rFonts w:hint="eastAsia"/>
              </w:rPr>
              <w:t>安全服务工程师</w:t>
            </w:r>
            <w:r>
              <w:rPr>
                <w:rFonts w:hint="eastAsia" w:ascii="宋体" w:hAnsi="宋体" w:cs="宋体"/>
              </w:rPr>
              <w:t>驻场服务，协助重咨集团开展网络安全、数据安全等相关工作。驻场服务人员需全日制本科及以上学历，安全或计算机相关专业，相关行业工作一年以上，具有网络信息安全相关证书（</w:t>
            </w:r>
            <w:r>
              <w:rPr>
                <w:rFonts w:ascii="宋体" w:hAnsi="宋体" w:cs="宋体"/>
              </w:rPr>
              <w:t>CISP</w:t>
            </w:r>
            <w:r>
              <w:rPr>
                <w:rFonts w:hint="eastAsia" w:ascii="宋体" w:hAnsi="宋体" w:cs="宋体"/>
              </w:rPr>
              <w:t>或</w:t>
            </w:r>
            <w:r>
              <w:rPr>
                <w:rFonts w:ascii="宋体" w:hAnsi="宋体" w:cs="宋体"/>
              </w:rPr>
              <w:t>CISAW</w:t>
            </w:r>
            <w:r>
              <w:rPr>
                <w:rFonts w:hint="eastAsia" w:ascii="宋体" w:hAnsi="宋体" w:cs="宋体"/>
              </w:rPr>
              <w:t>或</w:t>
            </w:r>
            <w:r>
              <w:rPr>
                <w:rFonts w:ascii="宋体" w:hAnsi="宋体" w:cs="宋体"/>
              </w:rPr>
              <w:t>CISSP</w:t>
            </w:r>
            <w:r>
              <w:rPr>
                <w:rFonts w:hint="eastAsia" w:ascii="宋体" w:hAnsi="宋体" w:cs="宋体"/>
              </w:rPr>
              <w:t>），具有相关工作能力。</w:t>
            </w:r>
            <w:r>
              <w:rPr>
                <w:rFonts w:hint="eastAsia"/>
              </w:rPr>
              <w:t>能对集团现有网信数安和商用密码安全性等相关管理制度文件进行修订、完善，并建立一套合规、全面并且符合集团组织机构的安全管理制度体系文件。能结合集团现有业务系统、网络架构、网络和安全策略以及日志进行分析和评估，能找出安全薄弱点，提出符合重咨集团安全需求的网络策略优化建议，并推进网络设备厂商或运维方优化实施。驻场人员工作时间按采购人正常上班时间执行，如遇特殊重大保障，按采购人安排开展工作。根据采购人安排完成相关工作。</w:t>
            </w:r>
            <w:r>
              <w:rPr>
                <w:rFonts w:hint="eastAsia" w:ascii="宋体" w:hAnsi="宋体" w:cs="宋体"/>
              </w:rPr>
              <w:t>在服务期内未经采购人同意，驻场人员不得从事与采购人要求的服务内容无关的其他工作或比选申请人随意更换驻场人员。</w:t>
            </w:r>
          </w:p>
        </w:tc>
        <w:tc>
          <w:tcPr>
            <w:tcW w:w="4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1人/年</w:t>
            </w:r>
          </w:p>
        </w:tc>
        <w:tc>
          <w:tcPr>
            <w:tcW w:w="526" w:type="pct"/>
            <w:vAlign w:val="center"/>
          </w:tcPr>
          <w:p>
            <w:pPr>
              <w:adjustRightInd w:val="0"/>
              <w:snapToGrid w:val="0"/>
              <w:spacing w:line="400" w:lineRule="exact"/>
              <w:jc w:val="center"/>
              <w:rPr>
                <w:rFonts w:hint="eastAsia" w:ascii="宋体" w:hAnsi="宋体" w:cs="宋体"/>
                <w:i/>
                <w:iCs/>
              </w:rPr>
            </w:pPr>
            <w:r>
              <w:rPr>
                <w:rFonts w:hint="eastAsia" w:ascii="宋体" w:hAnsi="宋体" w:cs="宋体"/>
                <w:i/>
                <w:iCs/>
              </w:rPr>
              <w:t>比选申请人填写</w:t>
            </w:r>
          </w:p>
        </w:tc>
        <w:tc>
          <w:tcPr>
            <w:tcW w:w="367" w:type="pct"/>
            <w:vAlign w:val="center"/>
          </w:tcPr>
          <w:p>
            <w:pPr>
              <w:adjustRightInd w:val="0"/>
              <w:snapToGrid w:val="0"/>
              <w:spacing w:line="400" w:lineRule="exact"/>
              <w:jc w:val="center"/>
              <w:rPr>
                <w:rFonts w:ascii="宋体" w:hAnsi="宋体" w:cs="宋体"/>
                <w:i/>
                <w:iCs/>
              </w:rPr>
            </w:pPr>
          </w:p>
        </w:tc>
      </w:tr>
    </w:tbl>
    <w:p>
      <w:pPr>
        <w:rPr>
          <w:szCs w:val="24"/>
        </w:rPr>
      </w:pPr>
      <w:r>
        <w:rPr>
          <w:rFonts w:hint="eastAsia"/>
          <w:sz w:val="24"/>
          <w:szCs w:val="24"/>
        </w:rPr>
        <w:t>注：“响应</w:t>
      </w:r>
      <w:r>
        <w:rPr>
          <w:sz w:val="24"/>
          <w:szCs w:val="24"/>
        </w:rPr>
        <w:t>/偏离”栏中，如比选申请人技术响应内容与比选文件服务需求有所差异，则在该栏中说明差异之处。如无差异则填写“响应”。</w:t>
      </w:r>
    </w:p>
    <w:p>
      <w:pPr>
        <w:pStyle w:val="3"/>
      </w:pPr>
    </w:p>
    <w:p>
      <w:pPr>
        <w:tabs>
          <w:tab w:val="left" w:pos="8300"/>
        </w:tabs>
        <w:autoSpaceDE w:val="0"/>
        <w:autoSpaceDN w:val="0"/>
        <w:adjustRightInd w:val="0"/>
        <w:snapToGrid w:val="0"/>
        <w:spacing w:line="520" w:lineRule="exact"/>
        <w:ind w:right="-20" w:firstLine="3570" w:firstLineChars="1700"/>
        <w:jc w:val="center"/>
        <w:rPr>
          <w:rFonts w:ascii="宋体" w:hAnsi="宋体" w:cs="MingLiU"/>
          <w:snapToGrid w:val="0"/>
          <w:u w:val="single"/>
        </w:rPr>
      </w:pPr>
      <w:r>
        <w:rPr>
          <w:rFonts w:hint="eastAsia" w:ascii="宋体" w:hAnsi="宋体" w:cs="MingLiU"/>
          <w:snapToGrid w:val="0"/>
          <w:u w:val="single"/>
        </w:rPr>
        <w:t xml:space="preserve">比选申请人：（盖章）         </w:t>
      </w:r>
    </w:p>
    <w:p>
      <w:pPr>
        <w:tabs>
          <w:tab w:val="left" w:pos="8300"/>
        </w:tabs>
        <w:autoSpaceDE w:val="0"/>
        <w:autoSpaceDN w:val="0"/>
        <w:adjustRightInd w:val="0"/>
        <w:snapToGrid w:val="0"/>
        <w:spacing w:line="520" w:lineRule="exact"/>
        <w:ind w:right="-20" w:firstLine="3150" w:firstLineChars="1500"/>
        <w:jc w:val="center"/>
        <w:rPr>
          <w:rFonts w:ascii="宋体" w:hAnsi="宋体" w:cs="MingLiU"/>
          <w:snapToGrid w:val="0"/>
          <w:u w:val="single"/>
        </w:rPr>
      </w:pPr>
      <w:r>
        <w:rPr>
          <w:rFonts w:hint="eastAsia" w:ascii="宋体" w:hAnsi="宋体" w:cs="MingLiU"/>
          <w:snapToGrid w:val="0"/>
          <w:u w:val="single"/>
        </w:rPr>
        <w:t xml:space="preserve">法定代表人或授权代表签字：（签名或盖章）  </w:t>
      </w:r>
    </w:p>
    <w:p>
      <w:pPr>
        <w:spacing w:line="520" w:lineRule="exact"/>
        <w:ind w:firstLine="5670" w:firstLineChars="2700"/>
        <w:jc w:val="center"/>
        <w:rPr>
          <w:rFonts w:ascii="宋体" w:hAnsi="宋体" w:cs="MingLiU"/>
          <w:snapToGrid w:val="0"/>
          <w:u w:val="single"/>
        </w:rPr>
      </w:pPr>
      <w:r>
        <w:rPr>
          <w:rFonts w:hint="eastAsia" w:ascii="宋体" w:hAnsi="宋体" w:cs="MingLiU"/>
          <w:snapToGrid w:val="0"/>
          <w:u w:val="single"/>
        </w:rPr>
        <w:t xml:space="preserve">     年   月   日</w:t>
      </w:r>
    </w:p>
    <w:p/>
    <w:p>
      <w:pPr>
        <w:pStyle w:val="3"/>
      </w:pPr>
    </w:p>
    <w:p>
      <w:pPr>
        <w:sectPr>
          <w:pgSz w:w="16838" w:h="11906" w:orient="landscape"/>
          <w:pgMar w:top="1134" w:right="1276" w:bottom="1162" w:left="1135" w:header="851" w:footer="992" w:gutter="0"/>
          <w:pgNumType w:start="1"/>
          <w:cols w:space="720" w:num="1"/>
          <w:titlePg/>
          <w:docGrid w:type="lines" w:linePitch="312" w:charSpace="0"/>
        </w:sectPr>
      </w:pPr>
    </w:p>
    <w:p>
      <w:pPr>
        <w:pStyle w:val="2"/>
        <w:ind w:firstLine="0"/>
      </w:pPr>
    </w:p>
    <w:p>
      <w:pPr>
        <w:spacing w:line="360" w:lineRule="auto"/>
        <w:ind w:firstLine="472" w:firstLineChars="224"/>
        <w:jc w:val="center"/>
        <w:outlineLvl w:val="1"/>
        <w:rPr>
          <w:rFonts w:ascii="宋体"/>
          <w:b/>
          <w:bCs/>
        </w:rPr>
      </w:pPr>
      <w:bookmarkStart w:id="55" w:name="_Toc120633487"/>
      <w:bookmarkStart w:id="56" w:name="_Toc14571"/>
      <w:bookmarkStart w:id="57" w:name="_Toc13388"/>
      <w:r>
        <w:rPr>
          <w:rFonts w:hint="eastAsia" w:ascii="宋体" w:hAnsi="宋体" w:cs="宋体"/>
          <w:b/>
          <w:bCs/>
        </w:rPr>
        <w:t>法定代表人授权委托书</w:t>
      </w:r>
      <w:bookmarkEnd w:id="54"/>
      <w:bookmarkEnd w:id="55"/>
      <w:bookmarkEnd w:id="56"/>
      <w:bookmarkEnd w:id="57"/>
    </w:p>
    <w:p>
      <w:pPr>
        <w:spacing w:line="360" w:lineRule="auto"/>
        <w:ind w:firstLine="470" w:firstLineChars="224"/>
        <w:rPr>
          <w:rFonts w:ascii="宋体"/>
        </w:rPr>
      </w:pPr>
    </w:p>
    <w:p>
      <w:pPr>
        <w:pStyle w:val="14"/>
        <w:spacing w:line="360" w:lineRule="auto"/>
        <w:ind w:left="0" w:leftChars="0" w:firstLine="470" w:firstLineChars="224"/>
        <w:rPr>
          <w:rFonts w:ascii="宋体"/>
        </w:rPr>
      </w:pPr>
      <w:r>
        <w:rPr>
          <w:rFonts w:hint="eastAsia" w:ascii="宋体" w:hAnsi="宋体" w:cs="宋体"/>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pPr>
        <w:pStyle w:val="14"/>
        <w:spacing w:line="360" w:lineRule="auto"/>
        <w:ind w:left="0" w:leftChars="0" w:firstLine="470" w:firstLineChars="224"/>
        <w:rPr>
          <w:rFonts w:ascii="宋体"/>
        </w:rPr>
      </w:pPr>
      <w:r>
        <w:rPr>
          <w:rFonts w:hint="eastAsia" w:ascii="宋体" w:hAnsi="宋体" w:cs="宋体"/>
        </w:rPr>
        <w:t>代理人无转委权。特此委托。</w:t>
      </w:r>
    </w:p>
    <w:p>
      <w:pPr>
        <w:pStyle w:val="14"/>
        <w:spacing w:line="360" w:lineRule="auto"/>
        <w:ind w:left="0" w:leftChars="0" w:firstLine="470" w:firstLineChars="224"/>
        <w:rPr>
          <w:rFonts w:ascii="宋体"/>
        </w:rPr>
      </w:pPr>
      <w:r>
        <w:rPr>
          <w:rFonts w:hint="eastAsia" w:ascii="宋体" w:hAnsi="宋体" w:cs="宋体"/>
        </w:rPr>
        <w:t>（附法定代表人身份证明）</w:t>
      </w:r>
    </w:p>
    <w:p>
      <w:pPr>
        <w:pStyle w:val="3"/>
        <w:spacing w:line="360" w:lineRule="auto"/>
        <w:ind w:firstLine="470" w:firstLineChars="224"/>
        <w:rPr>
          <w:rFonts w:cs="Times New Roman"/>
          <w:sz w:val="21"/>
          <w:szCs w:val="21"/>
        </w:rPr>
      </w:pPr>
    </w:p>
    <w:p>
      <w:pPr>
        <w:pStyle w:val="3"/>
        <w:spacing w:line="360" w:lineRule="auto"/>
        <w:ind w:firstLine="470" w:firstLineChars="224"/>
        <w:rPr>
          <w:rFonts w:cs="Times New Roman"/>
          <w:sz w:val="21"/>
          <w:szCs w:val="21"/>
        </w:rPr>
      </w:pPr>
      <w:r>
        <w:rPr>
          <w:rFonts w:hint="eastAsia"/>
          <w:sz w:val="21"/>
          <w:szCs w:val="21"/>
        </w:rPr>
        <w:t>代理人：性别：年龄：</w:t>
      </w:r>
    </w:p>
    <w:p>
      <w:pPr>
        <w:pStyle w:val="3"/>
        <w:spacing w:line="360" w:lineRule="auto"/>
        <w:ind w:firstLine="470" w:firstLineChars="224"/>
        <w:rPr>
          <w:rFonts w:cs="Times New Roman"/>
          <w:sz w:val="21"/>
          <w:szCs w:val="21"/>
        </w:rPr>
      </w:pPr>
    </w:p>
    <w:p>
      <w:pPr>
        <w:pStyle w:val="3"/>
        <w:spacing w:line="360" w:lineRule="auto"/>
        <w:ind w:firstLine="470" w:firstLineChars="224"/>
        <w:rPr>
          <w:rFonts w:cs="Times New Roman"/>
          <w:sz w:val="21"/>
          <w:szCs w:val="21"/>
        </w:rPr>
      </w:pPr>
      <w:r>
        <w:rPr>
          <w:rFonts w:hint="eastAsia"/>
          <w:sz w:val="21"/>
          <w:szCs w:val="21"/>
        </w:rPr>
        <w:t>单位：部门：职务：</w:t>
      </w:r>
    </w:p>
    <w:p>
      <w:pPr>
        <w:pStyle w:val="3"/>
        <w:spacing w:line="360" w:lineRule="auto"/>
        <w:ind w:firstLine="470" w:firstLineChars="224"/>
        <w:rPr>
          <w:rFonts w:cs="Times New Roman"/>
          <w:sz w:val="21"/>
          <w:szCs w:val="21"/>
        </w:rPr>
      </w:pPr>
    </w:p>
    <w:p>
      <w:pPr>
        <w:pStyle w:val="3"/>
        <w:spacing w:line="360" w:lineRule="auto"/>
        <w:ind w:firstLine="470" w:firstLineChars="224"/>
        <w:rPr>
          <w:rFonts w:cs="Times New Roman"/>
          <w:sz w:val="21"/>
          <w:szCs w:val="21"/>
        </w:rPr>
      </w:pPr>
      <w:r>
        <w:rPr>
          <w:rFonts w:hint="eastAsia"/>
          <w:sz w:val="21"/>
          <w:szCs w:val="21"/>
        </w:rPr>
        <w:t>比选申请人：（盖章）</w:t>
      </w:r>
    </w:p>
    <w:p>
      <w:pPr>
        <w:pStyle w:val="3"/>
        <w:spacing w:line="360" w:lineRule="auto"/>
        <w:ind w:firstLine="470" w:firstLineChars="224"/>
        <w:rPr>
          <w:rFonts w:cs="Times New Roman"/>
          <w:sz w:val="21"/>
          <w:szCs w:val="21"/>
        </w:rPr>
      </w:pPr>
    </w:p>
    <w:p>
      <w:pPr>
        <w:pStyle w:val="3"/>
        <w:spacing w:line="360" w:lineRule="auto"/>
        <w:ind w:firstLine="470" w:firstLineChars="224"/>
        <w:rPr>
          <w:rFonts w:cs="Times New Roman"/>
          <w:sz w:val="21"/>
          <w:szCs w:val="21"/>
        </w:rPr>
      </w:pPr>
      <w:r>
        <w:rPr>
          <w:rFonts w:hint="eastAsia"/>
          <w:sz w:val="21"/>
          <w:szCs w:val="21"/>
        </w:rPr>
        <w:t>法定代表人：（签名或盖章）</w:t>
      </w:r>
    </w:p>
    <w:p>
      <w:pPr>
        <w:pStyle w:val="54"/>
        <w:spacing w:beforeLines="0" w:afterLines="0" w:line="360" w:lineRule="auto"/>
        <w:ind w:firstLine="470" w:firstLineChars="224"/>
        <w:rPr>
          <w:rFonts w:ascii="宋体" w:hAnsi="宋体" w:eastAsia="宋体"/>
          <w:sz w:val="21"/>
          <w:szCs w:val="21"/>
        </w:rPr>
      </w:pPr>
    </w:p>
    <w:p>
      <w:pPr>
        <w:pStyle w:val="54"/>
        <w:spacing w:beforeLines="0" w:afterLines="0" w:line="360" w:lineRule="auto"/>
        <w:ind w:right="480" w:firstLine="470" w:firstLineChars="224"/>
        <w:jc w:val="right"/>
        <w:rPr>
          <w:rFonts w:ascii="宋体" w:hAnsi="宋体" w:eastAsia="宋体"/>
          <w:sz w:val="21"/>
          <w:szCs w:val="21"/>
        </w:rPr>
      </w:pPr>
      <w:r>
        <w:rPr>
          <w:rFonts w:hint="eastAsia" w:ascii="宋体" w:hAnsi="宋体" w:eastAsia="宋体" w:cs="宋体"/>
          <w:sz w:val="21"/>
          <w:szCs w:val="21"/>
        </w:rPr>
        <w:t>日期：年月日</w:t>
      </w:r>
    </w:p>
    <w:p>
      <w:pPr>
        <w:spacing w:line="360" w:lineRule="auto"/>
        <w:rPr>
          <w:rFonts w:ascii="宋体"/>
        </w:rPr>
      </w:pPr>
    </w:p>
    <w:p>
      <w:pPr>
        <w:spacing w:line="360" w:lineRule="auto"/>
        <w:ind w:firstLine="470" w:firstLineChars="224"/>
        <w:rPr>
          <w:rFonts w:ascii="宋体"/>
        </w:rPr>
      </w:pPr>
      <w:r>
        <w:rPr>
          <w:rFonts w:hint="eastAsia" w:ascii="宋体" w:hAnsi="宋体" w:cs="宋体"/>
        </w:rPr>
        <w:t>（该处粘贴代理人身份证复印件）</w:t>
      </w:r>
    </w:p>
    <w:p>
      <w:pPr>
        <w:spacing w:line="360" w:lineRule="auto"/>
        <w:ind w:firstLine="472" w:firstLineChars="224"/>
        <w:jc w:val="center"/>
        <w:rPr>
          <w:rFonts w:ascii="宋体"/>
          <w:b/>
          <w:bCs/>
        </w:rPr>
      </w:pPr>
    </w:p>
    <w:p>
      <w:pPr>
        <w:spacing w:line="360" w:lineRule="auto"/>
        <w:jc w:val="center"/>
        <w:outlineLvl w:val="1"/>
        <w:rPr>
          <w:rFonts w:ascii="宋体"/>
          <w:b/>
          <w:bCs/>
        </w:rPr>
      </w:pPr>
      <w:r>
        <w:rPr>
          <w:rFonts w:ascii="宋体"/>
          <w:b/>
          <w:bCs/>
        </w:rPr>
        <w:br w:type="page"/>
      </w:r>
      <w:bookmarkStart w:id="58" w:name="_Toc13788"/>
      <w:bookmarkStart w:id="59" w:name="_Toc120633488"/>
      <w:bookmarkStart w:id="60" w:name="_Toc11989"/>
      <w:r>
        <w:rPr>
          <w:rFonts w:hint="eastAsia" w:ascii="宋体" w:hAnsi="宋体" w:cs="宋体"/>
          <w:b/>
          <w:bCs/>
        </w:rPr>
        <w:t>法定代表人身份证明</w:t>
      </w:r>
      <w:bookmarkEnd w:id="58"/>
      <w:bookmarkEnd w:id="59"/>
      <w:bookmarkEnd w:id="60"/>
    </w:p>
    <w:p>
      <w:pPr>
        <w:spacing w:line="360" w:lineRule="auto"/>
        <w:ind w:left="765"/>
        <w:rPr>
          <w:rFonts w:ascii="宋体"/>
        </w:rPr>
      </w:pPr>
    </w:p>
    <w:p>
      <w:pPr>
        <w:tabs>
          <w:tab w:val="left" w:pos="5565"/>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比选申请人名称：</w:t>
      </w:r>
      <w:r>
        <w:rPr>
          <w:rFonts w:ascii="宋体"/>
          <w:kern w:val="0"/>
          <w:u w:val="single"/>
        </w:rPr>
        <w:tab/>
      </w:r>
    </w:p>
    <w:p>
      <w:pPr>
        <w:tabs>
          <w:tab w:val="left" w:pos="5475"/>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单位性质：</w:t>
      </w:r>
      <w:r>
        <w:rPr>
          <w:rFonts w:ascii="宋体"/>
          <w:kern w:val="0"/>
          <w:u w:val="single"/>
        </w:rPr>
        <w:tab/>
      </w:r>
    </w:p>
    <w:p>
      <w:pPr>
        <w:tabs>
          <w:tab w:val="left" w:pos="5475"/>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地址：</w:t>
      </w:r>
      <w:r>
        <w:rPr>
          <w:rFonts w:ascii="宋体"/>
          <w:kern w:val="0"/>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成立时间：</w:t>
      </w:r>
      <w:r>
        <w:rPr>
          <w:rFonts w:ascii="宋体"/>
          <w:kern w:val="0"/>
          <w:u w:val="single"/>
        </w:rPr>
        <w:tab/>
      </w:r>
      <w:r>
        <w:rPr>
          <w:rFonts w:hint="eastAsia" w:ascii="宋体" w:hAnsi="宋体" w:cs="宋体"/>
          <w:spacing w:val="-1"/>
          <w:kern w:val="0"/>
        </w:rPr>
        <w:t>年</w:t>
      </w:r>
      <w:r>
        <w:rPr>
          <w:rFonts w:ascii="宋体"/>
          <w:kern w:val="0"/>
          <w:u w:val="single"/>
        </w:rPr>
        <w:tab/>
      </w:r>
      <w:r>
        <w:rPr>
          <w:rFonts w:hint="eastAsia" w:ascii="宋体" w:hAnsi="宋体" w:cs="宋体"/>
          <w:spacing w:val="-1"/>
          <w:kern w:val="0"/>
        </w:rPr>
        <w:t>月</w:t>
      </w:r>
      <w:r>
        <w:rPr>
          <w:rFonts w:hint="eastAsia" w:ascii="宋体" w:hAnsi="宋体" w:cs="宋体"/>
          <w:kern w:val="0"/>
        </w:rPr>
        <w:t>日</w:t>
      </w:r>
    </w:p>
    <w:p>
      <w:pPr>
        <w:tabs>
          <w:tab w:val="left" w:pos="5475"/>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经营期限：</w:t>
      </w:r>
      <w:r>
        <w:rPr>
          <w:rFonts w:ascii="宋体"/>
          <w:kern w:val="0"/>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姓名：</w:t>
      </w:r>
      <w:r>
        <w:rPr>
          <w:rFonts w:ascii="宋体"/>
          <w:kern w:val="0"/>
          <w:u w:val="single"/>
        </w:rPr>
        <w:tab/>
      </w:r>
      <w:r>
        <w:rPr>
          <w:rFonts w:hint="eastAsia" w:ascii="宋体" w:hAnsi="宋体" w:cs="宋体"/>
          <w:kern w:val="0"/>
        </w:rPr>
        <w:t>性别</w:t>
      </w:r>
      <w:r>
        <w:rPr>
          <w:rFonts w:hint="eastAsia" w:ascii="宋体" w:hAnsi="宋体" w:cs="宋体"/>
          <w:spacing w:val="-1"/>
          <w:kern w:val="0"/>
        </w:rPr>
        <w:t>：</w:t>
      </w:r>
      <w:r>
        <w:rPr>
          <w:rFonts w:ascii="宋体"/>
          <w:kern w:val="0"/>
          <w:u w:val="single"/>
        </w:rPr>
        <w:tab/>
      </w:r>
      <w:r>
        <w:rPr>
          <w:rFonts w:hint="eastAsia" w:ascii="宋体" w:hAnsi="宋体" w:cs="宋体"/>
          <w:spacing w:val="-1"/>
          <w:kern w:val="0"/>
        </w:rPr>
        <w:t>年</w:t>
      </w:r>
      <w:r>
        <w:rPr>
          <w:rFonts w:hint="eastAsia" w:ascii="宋体" w:hAnsi="宋体" w:cs="宋体"/>
          <w:kern w:val="0"/>
        </w:rPr>
        <w:t>龄：</w:t>
      </w:r>
      <w:r>
        <w:rPr>
          <w:rFonts w:ascii="宋体"/>
          <w:kern w:val="0"/>
          <w:u w:val="single"/>
        </w:rPr>
        <w:tab/>
      </w:r>
      <w:r>
        <w:rPr>
          <w:rFonts w:hint="eastAsia" w:ascii="宋体" w:hAnsi="宋体" w:cs="宋体"/>
          <w:kern w:val="0"/>
        </w:rPr>
        <w:t>职务：</w:t>
      </w:r>
      <w:r>
        <w:rPr>
          <w:rFonts w:ascii="宋体"/>
          <w:kern w:val="0"/>
          <w:u w:val="single"/>
        </w:rPr>
        <w:tab/>
      </w:r>
    </w:p>
    <w:p>
      <w:pPr>
        <w:tabs>
          <w:tab w:val="left" w:pos="3360"/>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系</w:t>
      </w:r>
      <w:r>
        <w:rPr>
          <w:rFonts w:ascii="宋体"/>
          <w:kern w:val="0"/>
          <w:u w:val="single"/>
        </w:rPr>
        <w:tab/>
      </w:r>
      <w:r>
        <w:rPr>
          <w:rFonts w:hint="eastAsia" w:ascii="宋体" w:hAnsi="宋体" w:cs="宋体"/>
          <w:kern w:val="0"/>
        </w:rPr>
        <w:t>（比选申请人名称）的法定代表人。</w:t>
      </w:r>
    </w:p>
    <w:p>
      <w:pPr>
        <w:autoSpaceDE w:val="0"/>
        <w:autoSpaceDN w:val="0"/>
        <w:adjustRightInd w:val="0"/>
        <w:snapToGrid w:val="0"/>
        <w:spacing w:line="360" w:lineRule="auto"/>
        <w:ind w:firstLine="390" w:firstLineChars="186"/>
        <w:jc w:val="left"/>
        <w:rPr>
          <w:rFonts w:ascii="宋体"/>
          <w:kern w:val="0"/>
        </w:rPr>
      </w:pPr>
    </w:p>
    <w:p>
      <w:pPr>
        <w:autoSpaceDE w:val="0"/>
        <w:autoSpaceDN w:val="0"/>
        <w:adjustRightInd w:val="0"/>
        <w:snapToGrid w:val="0"/>
        <w:spacing w:line="360" w:lineRule="auto"/>
        <w:ind w:firstLine="810" w:firstLineChars="386"/>
        <w:jc w:val="left"/>
        <w:rPr>
          <w:rFonts w:ascii="宋体"/>
          <w:kern w:val="0"/>
        </w:rPr>
      </w:pPr>
      <w:r>
        <w:rPr>
          <w:rFonts w:hint="eastAsia" w:ascii="宋体" w:hAnsi="宋体" w:cs="宋体"/>
          <w:kern w:val="0"/>
        </w:rPr>
        <w:t>特此证明。</w:t>
      </w:r>
    </w:p>
    <w:p>
      <w:pPr>
        <w:autoSpaceDE w:val="0"/>
        <w:autoSpaceDN w:val="0"/>
        <w:adjustRightInd w:val="0"/>
        <w:snapToGrid w:val="0"/>
        <w:spacing w:line="360" w:lineRule="auto"/>
        <w:jc w:val="left"/>
        <w:rPr>
          <w:rFonts w:ascii="宋体"/>
          <w:kern w:val="0"/>
        </w:rPr>
      </w:pPr>
    </w:p>
    <w:p>
      <w:pPr>
        <w:tabs>
          <w:tab w:val="left" w:pos="5460"/>
        </w:tabs>
        <w:autoSpaceDE w:val="0"/>
        <w:autoSpaceDN w:val="0"/>
        <w:adjustRightInd w:val="0"/>
        <w:snapToGrid w:val="0"/>
        <w:spacing w:line="360" w:lineRule="auto"/>
        <w:ind w:firstLine="2100"/>
        <w:jc w:val="left"/>
        <w:rPr>
          <w:rFonts w:ascii="宋体"/>
          <w:kern w:val="0"/>
        </w:rPr>
      </w:pPr>
      <w:r>
        <w:rPr>
          <w:rFonts w:hint="eastAsia" w:ascii="宋体" w:hAnsi="宋体" w:cs="宋体"/>
          <w:kern w:val="0"/>
        </w:rPr>
        <w:t>比选申请人：</w:t>
      </w:r>
      <w:r>
        <w:rPr>
          <w:rFonts w:ascii="宋体"/>
          <w:kern w:val="0"/>
          <w:u w:val="single"/>
        </w:rPr>
        <w:tab/>
      </w:r>
      <w:r>
        <w:rPr>
          <w:rFonts w:hint="eastAsia" w:ascii="宋体" w:hAnsi="宋体" w:cs="宋体"/>
          <w:spacing w:val="-1"/>
          <w:kern w:val="0"/>
        </w:rPr>
        <w:t>（</w:t>
      </w:r>
      <w:r>
        <w:rPr>
          <w:rFonts w:hint="eastAsia" w:ascii="宋体" w:hAnsi="宋体" w:cs="宋体"/>
          <w:kern w:val="0"/>
        </w:rPr>
        <w:t>盖单位公章）</w:t>
      </w:r>
    </w:p>
    <w:p>
      <w:pPr>
        <w:autoSpaceDE w:val="0"/>
        <w:autoSpaceDN w:val="0"/>
        <w:adjustRightInd w:val="0"/>
        <w:snapToGrid w:val="0"/>
        <w:spacing w:line="360" w:lineRule="auto"/>
        <w:jc w:val="left"/>
        <w:rPr>
          <w:rFonts w:ascii="宋体"/>
          <w:kern w:val="0"/>
        </w:rPr>
      </w:pPr>
    </w:p>
    <w:p>
      <w:pPr>
        <w:tabs>
          <w:tab w:val="left" w:pos="4935"/>
          <w:tab w:val="left" w:pos="5460"/>
          <w:tab w:val="left" w:pos="6400"/>
        </w:tabs>
        <w:autoSpaceDE w:val="0"/>
        <w:autoSpaceDN w:val="0"/>
        <w:adjustRightInd w:val="0"/>
        <w:snapToGrid w:val="0"/>
        <w:spacing w:line="360" w:lineRule="auto"/>
        <w:ind w:firstLine="3780"/>
        <w:jc w:val="left"/>
        <w:rPr>
          <w:rFonts w:ascii="宋体"/>
          <w:kern w:val="0"/>
        </w:rPr>
      </w:pPr>
      <w:r>
        <w:rPr>
          <w:rFonts w:ascii="宋体"/>
          <w:kern w:val="0"/>
          <w:u w:val="single"/>
        </w:rPr>
        <w:tab/>
      </w:r>
      <w:r>
        <w:rPr>
          <w:rFonts w:hint="eastAsia" w:ascii="宋体" w:hAnsi="宋体" w:cs="宋体"/>
          <w:spacing w:val="-1"/>
          <w:kern w:val="0"/>
        </w:rPr>
        <w:t>年</w:t>
      </w:r>
      <w:r>
        <w:rPr>
          <w:rFonts w:hint="eastAsia" w:ascii="宋体" w:hAnsi="宋体" w:cs="宋体"/>
          <w:kern w:val="0"/>
        </w:rPr>
        <w:t>月日</w:t>
      </w:r>
    </w:p>
    <w:p>
      <w:pPr>
        <w:autoSpaceDE w:val="0"/>
        <w:autoSpaceDN w:val="0"/>
        <w:adjustRightInd w:val="0"/>
        <w:snapToGrid w:val="0"/>
        <w:spacing w:line="360" w:lineRule="auto"/>
        <w:jc w:val="left"/>
        <w:rPr>
          <w:rFonts w:ascii="宋体"/>
          <w:kern w:val="0"/>
        </w:rPr>
      </w:pPr>
    </w:p>
    <w:tbl>
      <w:tblPr>
        <w:tblStyle w:val="10"/>
        <w:tblpPr w:leftFromText="180" w:rightFromText="180" w:vertAnchor="text" w:horzAnchor="margin" w:tblpY="735"/>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360" w:lineRule="auto"/>
              <w:ind w:firstLine="211" w:firstLineChars="100"/>
              <w:rPr>
                <w:rFonts w:ascii="宋体"/>
                <w:b/>
                <w:bCs/>
              </w:rPr>
            </w:pPr>
          </w:p>
          <w:p>
            <w:pPr>
              <w:spacing w:line="360" w:lineRule="auto"/>
              <w:ind w:firstLine="211" w:firstLineChars="100"/>
              <w:rPr>
                <w:rFonts w:ascii="宋体"/>
                <w:b/>
                <w:bCs/>
              </w:rPr>
            </w:pPr>
            <w:r>
              <w:rPr>
                <w:rFonts w:hint="eastAsia" w:ascii="宋体" w:hAnsi="宋体" w:cs="宋体"/>
                <w:b/>
                <w:bCs/>
              </w:rPr>
              <w:t>法定代表人身份证正面复印件</w:t>
            </w:r>
          </w:p>
          <w:p>
            <w:pPr>
              <w:spacing w:line="360" w:lineRule="auto"/>
              <w:rPr>
                <w:rFonts w:ascii="宋体"/>
                <w:b/>
                <w:bCs/>
              </w:rPr>
            </w:pPr>
          </w:p>
        </w:tc>
      </w:tr>
    </w:tbl>
    <w:p>
      <w:pPr>
        <w:spacing w:line="360" w:lineRule="auto"/>
        <w:rPr>
          <w:rFonts w:ascii="宋体"/>
          <w:vanish/>
        </w:rPr>
      </w:pPr>
    </w:p>
    <w:tbl>
      <w:tblPr>
        <w:tblStyle w:val="10"/>
        <w:tblpPr w:leftFromText="180" w:rightFromText="180" w:vertAnchor="text" w:horzAnchor="margin" w:tblpXSpec="right" w:tblpY="6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CellMar>
            <w:top w:w="0" w:type="dxa"/>
            <w:left w:w="108" w:type="dxa"/>
            <w:bottom w:w="0" w:type="dxa"/>
            <w:right w:w="108" w:type="dxa"/>
          </w:tblCellMar>
        </w:tblPrEx>
        <w:trPr>
          <w:trHeight w:val="2340" w:hRule="atLeast"/>
        </w:trPr>
        <w:tc>
          <w:tcPr>
            <w:tcW w:w="3960" w:type="dxa"/>
          </w:tcPr>
          <w:p>
            <w:pPr>
              <w:spacing w:line="360" w:lineRule="auto"/>
              <w:ind w:firstLine="211" w:firstLineChars="100"/>
              <w:rPr>
                <w:rFonts w:ascii="宋体"/>
                <w:b/>
                <w:bCs/>
              </w:rPr>
            </w:pPr>
          </w:p>
          <w:p>
            <w:pPr>
              <w:spacing w:line="360" w:lineRule="auto"/>
              <w:ind w:firstLine="211" w:firstLineChars="100"/>
              <w:rPr>
                <w:rFonts w:ascii="宋体"/>
                <w:b/>
                <w:bCs/>
              </w:rPr>
            </w:pPr>
            <w:r>
              <w:rPr>
                <w:rFonts w:hint="eastAsia" w:ascii="宋体" w:hAnsi="宋体" w:cs="宋体"/>
                <w:b/>
                <w:bCs/>
              </w:rPr>
              <w:t>法定代表人身份证背面复印件</w:t>
            </w:r>
          </w:p>
          <w:p>
            <w:pPr>
              <w:spacing w:line="360" w:lineRule="auto"/>
              <w:rPr>
                <w:rFonts w:ascii="宋体"/>
                <w:b/>
                <w:bCs/>
              </w:rPr>
            </w:pPr>
          </w:p>
        </w:tc>
      </w:tr>
    </w:tbl>
    <w:p>
      <w:pPr>
        <w:pStyle w:val="6"/>
        <w:spacing w:line="360" w:lineRule="auto"/>
        <w:rPr>
          <w:rFonts w:ascii="宋体"/>
          <w:sz w:val="21"/>
          <w:szCs w:val="21"/>
        </w:rPr>
        <w:sectPr>
          <w:pgSz w:w="11906" w:h="16838"/>
          <w:pgMar w:top="1276" w:right="1162" w:bottom="1135" w:left="1134" w:header="851" w:footer="992" w:gutter="0"/>
          <w:pgNumType w:start="1"/>
          <w:cols w:space="720" w:num="1"/>
          <w:titlePg/>
          <w:docGrid w:type="lines" w:linePitch="312" w:charSpace="0"/>
        </w:sectPr>
      </w:pPr>
    </w:p>
    <w:p>
      <w:pPr>
        <w:spacing w:line="360" w:lineRule="auto"/>
        <w:jc w:val="center"/>
        <w:outlineLvl w:val="0"/>
        <w:rPr>
          <w:rFonts w:ascii="宋体"/>
          <w:b/>
          <w:bCs/>
          <w:sz w:val="28"/>
          <w:szCs w:val="28"/>
        </w:rPr>
      </w:pPr>
      <w:bookmarkStart w:id="61" w:name="_Toc26105"/>
      <w:bookmarkStart w:id="62" w:name="_Toc12557"/>
      <w:bookmarkStart w:id="63" w:name="_Toc120633489"/>
      <w:r>
        <w:rPr>
          <w:rFonts w:hint="eastAsia" w:ascii="宋体" w:hAnsi="宋体" w:cs="宋体"/>
          <w:b/>
          <w:bCs/>
          <w:sz w:val="28"/>
          <w:szCs w:val="28"/>
        </w:rPr>
        <w:t>比选文件规定的其它资料</w:t>
      </w:r>
      <w:bookmarkEnd w:id="61"/>
      <w:bookmarkEnd w:id="62"/>
      <w:bookmarkEnd w:id="63"/>
    </w:p>
    <w:p>
      <w:pPr>
        <w:spacing w:line="360" w:lineRule="auto"/>
        <w:ind w:firstLine="630" w:firstLineChars="300"/>
        <w:jc w:val="left"/>
        <w:rPr>
          <w:rFonts w:ascii="宋体" w:hAnsi="宋体" w:cs="宋体"/>
        </w:rPr>
      </w:pPr>
    </w:p>
    <w:p>
      <w:pPr>
        <w:spacing w:line="360" w:lineRule="auto"/>
        <w:ind w:firstLine="630" w:firstLineChars="300"/>
        <w:jc w:val="left"/>
        <w:rPr>
          <w:rFonts w:ascii="宋体" w:hAnsi="宋体" w:cs="宋体"/>
        </w:rPr>
      </w:pPr>
      <w:r>
        <w:rPr>
          <w:rFonts w:hint="eastAsia" w:ascii="宋体" w:hAnsi="宋体" w:cs="宋体"/>
        </w:rPr>
        <w:t>（如资格部分的其他证明材料，商务部分及技术部分的评分资料，比选申请人认为参与此次比选应提交的其他资料）</w:t>
      </w: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rPr>
          <w:rFonts w:ascii="宋体"/>
          <w:b/>
          <w:bCs/>
          <w:sz w:val="28"/>
          <w:szCs w:val="28"/>
        </w:rPr>
      </w:pPr>
    </w:p>
    <w:p>
      <w:pPr>
        <w:pStyle w:val="2"/>
      </w:pPr>
    </w:p>
    <w:p>
      <w:pPr>
        <w:spacing w:line="360" w:lineRule="auto"/>
        <w:rPr>
          <w:rFonts w:ascii="宋体"/>
          <w:b/>
          <w:bCs/>
          <w:sz w:val="28"/>
          <w:szCs w:val="28"/>
        </w:rPr>
      </w:pPr>
    </w:p>
    <w:p>
      <w:pPr>
        <w:spacing w:line="360" w:lineRule="auto"/>
        <w:jc w:val="center"/>
        <w:outlineLvl w:val="0"/>
        <w:rPr>
          <w:rFonts w:ascii="宋体" w:hAnsi="宋体" w:cs="宋体"/>
          <w:b/>
          <w:bCs/>
          <w:sz w:val="28"/>
          <w:szCs w:val="28"/>
        </w:rPr>
      </w:pPr>
      <w:bookmarkStart w:id="64" w:name="_Toc30810"/>
      <w:bookmarkStart w:id="65" w:name="_Toc120633490"/>
      <w:r>
        <w:rPr>
          <w:rFonts w:hint="eastAsia" w:ascii="宋体" w:hAnsi="宋体" w:cs="宋体"/>
          <w:b/>
          <w:bCs/>
          <w:sz w:val="28"/>
          <w:szCs w:val="28"/>
        </w:rPr>
        <w:t>第四部分 合同条款</w:t>
      </w:r>
      <w:bookmarkEnd w:id="64"/>
      <w:bookmarkEnd w:id="65"/>
    </w:p>
    <w:p>
      <w:pPr>
        <w:ind w:firstLine="560"/>
        <w:rPr>
          <w:kern w:val="0"/>
          <w:sz w:val="28"/>
        </w:rPr>
      </w:pPr>
    </w:p>
    <w:p>
      <w:pPr>
        <w:ind w:firstLine="723"/>
        <w:rPr>
          <w:rFonts w:eastAsia="黑体"/>
          <w:b/>
          <w:kern w:val="0"/>
          <w:sz w:val="36"/>
        </w:rPr>
      </w:pPr>
    </w:p>
    <w:p>
      <w:pPr>
        <w:jc w:val="center"/>
        <w:rPr>
          <w:rFonts w:eastAsia="黑体"/>
          <w:b/>
          <w:kern w:val="0"/>
          <w:sz w:val="52"/>
          <w:szCs w:val="52"/>
        </w:rPr>
      </w:pPr>
      <w:r>
        <w:rPr>
          <w:rFonts w:hint="eastAsia" w:eastAsia="黑体"/>
          <w:b/>
          <w:kern w:val="0"/>
          <w:sz w:val="52"/>
          <w:szCs w:val="52"/>
        </w:rPr>
        <w:t>重咨集团网络与信息安全技术服务</w:t>
      </w:r>
    </w:p>
    <w:p>
      <w:pPr>
        <w:jc w:val="center"/>
        <w:rPr>
          <w:rFonts w:eastAsia="黑体"/>
          <w:b/>
          <w:kern w:val="0"/>
          <w:sz w:val="52"/>
          <w:szCs w:val="52"/>
        </w:rPr>
      </w:pPr>
      <w:r>
        <w:rPr>
          <w:rFonts w:hint="eastAsia" w:eastAsia="黑体"/>
          <w:b/>
          <w:kern w:val="0"/>
          <w:sz w:val="52"/>
          <w:szCs w:val="52"/>
        </w:rPr>
        <w:t>采购合同</w:t>
      </w:r>
    </w:p>
    <w:p>
      <w:pPr>
        <w:ind w:firstLine="560"/>
        <w:rPr>
          <w:kern w:val="0"/>
          <w:sz w:val="28"/>
        </w:rPr>
      </w:pPr>
    </w:p>
    <w:p>
      <w:pPr>
        <w:rPr>
          <w:kern w:val="0"/>
          <w:sz w:val="28"/>
        </w:rPr>
      </w:pPr>
    </w:p>
    <w:p>
      <w:pPr>
        <w:ind w:firstLine="560"/>
        <w:rPr>
          <w:kern w:val="0"/>
          <w:sz w:val="28"/>
        </w:rPr>
      </w:pPr>
    </w:p>
    <w:p>
      <w:pPr>
        <w:ind w:firstLine="560"/>
        <w:rPr>
          <w:kern w:val="0"/>
          <w:sz w:val="28"/>
        </w:rPr>
      </w:pPr>
    </w:p>
    <w:p>
      <w:pPr>
        <w:ind w:firstLine="560"/>
        <w:rPr>
          <w:rFonts w:eastAsia="楷体_GB2312"/>
          <w:kern w:val="0"/>
          <w:sz w:val="28"/>
        </w:rPr>
      </w:pPr>
      <w:r>
        <w:rPr>
          <w:rFonts w:hint="eastAsia" w:eastAsia="楷体_GB2312"/>
          <w:kern w:val="0"/>
          <w:sz w:val="28"/>
        </w:rPr>
        <w:t xml:space="preserve">   </w:t>
      </w:r>
    </w:p>
    <w:p>
      <w:pPr>
        <w:spacing w:line="240" w:lineRule="atLeast"/>
        <w:ind w:firstLine="560"/>
        <w:rPr>
          <w:rFonts w:eastAsia="楷体_GB2312"/>
          <w:kern w:val="0"/>
          <w:sz w:val="28"/>
        </w:rPr>
      </w:pPr>
    </w:p>
    <w:p>
      <w:pPr>
        <w:spacing w:line="240" w:lineRule="atLeast"/>
        <w:ind w:left="1275" w:firstLine="560"/>
        <w:rPr>
          <w:rFonts w:eastAsia="楷体_GB2312"/>
          <w:b/>
          <w:kern w:val="0"/>
          <w:sz w:val="30"/>
          <w:szCs w:val="30"/>
        </w:rPr>
      </w:pPr>
      <w:r>
        <w:rPr>
          <w:rFonts w:hint="eastAsia" w:eastAsia="楷体_GB2312"/>
          <w:kern w:val="0"/>
          <w:sz w:val="28"/>
        </w:rPr>
        <w:t>委</w:t>
      </w:r>
      <w:r>
        <w:rPr>
          <w:rFonts w:eastAsia="楷体_GB2312"/>
          <w:kern w:val="0"/>
          <w:sz w:val="28"/>
        </w:rPr>
        <w:t xml:space="preserve"> </w:t>
      </w:r>
      <w:r>
        <w:rPr>
          <w:rFonts w:hint="eastAsia" w:eastAsia="楷体_GB2312"/>
          <w:kern w:val="0"/>
          <w:sz w:val="28"/>
        </w:rPr>
        <w:t>托</w:t>
      </w:r>
      <w:r>
        <w:rPr>
          <w:rFonts w:eastAsia="楷体_GB2312"/>
          <w:kern w:val="0"/>
          <w:sz w:val="28"/>
        </w:rPr>
        <w:t xml:space="preserve"> </w:t>
      </w:r>
      <w:r>
        <w:rPr>
          <w:rFonts w:hint="eastAsia" w:eastAsia="楷体_GB2312"/>
          <w:kern w:val="0"/>
          <w:sz w:val="28"/>
        </w:rPr>
        <w:t>方：</w:t>
      </w:r>
      <w:r>
        <w:rPr>
          <w:rFonts w:hint="eastAsia" w:eastAsia="楷体_GB2312"/>
          <w:kern w:val="0"/>
          <w:sz w:val="28"/>
          <w:szCs w:val="22"/>
          <w:u w:val="single"/>
        </w:rPr>
        <w:t xml:space="preserve"> </w:t>
      </w:r>
      <w:r>
        <w:rPr>
          <w:rFonts w:eastAsia="楷体_GB2312"/>
          <w:kern w:val="0"/>
          <w:sz w:val="28"/>
          <w:szCs w:val="22"/>
          <w:u w:val="single"/>
        </w:rPr>
        <w:t xml:space="preserve">                      </w:t>
      </w:r>
      <w:r>
        <w:rPr>
          <w:rFonts w:hint="eastAsia" w:eastAsia="楷体_GB2312"/>
          <w:kern w:val="0"/>
          <w:sz w:val="28"/>
          <w:szCs w:val="22"/>
          <w:u w:val="single"/>
        </w:rPr>
        <w:t xml:space="preserve"> </w:t>
      </w:r>
    </w:p>
    <w:p>
      <w:pPr>
        <w:spacing w:line="240" w:lineRule="atLeast"/>
        <w:ind w:left="1275" w:firstLine="560"/>
        <w:rPr>
          <w:rFonts w:eastAsia="楷体_GB2312"/>
          <w:kern w:val="0"/>
          <w:sz w:val="28"/>
        </w:rPr>
      </w:pPr>
      <w:r>
        <w:rPr>
          <w:rFonts w:hint="eastAsia" w:eastAsia="楷体_GB2312"/>
          <w:kern w:val="0"/>
          <w:sz w:val="28"/>
        </w:rPr>
        <w:t xml:space="preserve">（甲方）   </w:t>
      </w:r>
    </w:p>
    <w:p>
      <w:pPr>
        <w:spacing w:line="240" w:lineRule="atLeast"/>
        <w:ind w:firstLine="560"/>
        <w:rPr>
          <w:rFonts w:eastAsia="楷体_GB2312"/>
          <w:kern w:val="0"/>
          <w:sz w:val="28"/>
        </w:rPr>
      </w:pPr>
    </w:p>
    <w:p>
      <w:pPr>
        <w:spacing w:line="240" w:lineRule="atLeast"/>
        <w:ind w:left="1275" w:firstLine="560"/>
        <w:rPr>
          <w:rFonts w:eastAsia="楷体_GB2312"/>
          <w:kern w:val="0"/>
          <w:sz w:val="30"/>
          <w:szCs w:val="30"/>
          <w:u w:val="single"/>
        </w:rPr>
      </w:pPr>
      <w:r>
        <w:rPr>
          <w:rFonts w:hint="eastAsia" w:eastAsia="楷体_GB2312"/>
          <w:kern w:val="0"/>
          <w:sz w:val="28"/>
        </w:rPr>
        <w:t>服 务 方：</w:t>
      </w:r>
      <w:r>
        <w:rPr>
          <w:rFonts w:hint="eastAsia" w:eastAsia="楷体_GB2312"/>
          <w:kern w:val="0"/>
          <w:sz w:val="28"/>
          <w:szCs w:val="22"/>
          <w:u w:val="single"/>
        </w:rPr>
        <w:t xml:space="preserve"> </w:t>
      </w:r>
      <w:r>
        <w:rPr>
          <w:rFonts w:eastAsia="楷体_GB2312"/>
          <w:kern w:val="0"/>
          <w:sz w:val="28"/>
          <w:szCs w:val="22"/>
          <w:u w:val="single"/>
        </w:rPr>
        <w:t xml:space="preserve">                      </w:t>
      </w:r>
      <w:r>
        <w:rPr>
          <w:rFonts w:hint="eastAsia" w:eastAsia="楷体_GB2312"/>
          <w:kern w:val="0"/>
          <w:sz w:val="28"/>
          <w:szCs w:val="22"/>
          <w:u w:val="single"/>
        </w:rPr>
        <w:t xml:space="preserve"> </w:t>
      </w:r>
    </w:p>
    <w:p>
      <w:pPr>
        <w:spacing w:line="240" w:lineRule="atLeast"/>
        <w:ind w:firstLine="560"/>
        <w:rPr>
          <w:rFonts w:eastAsia="楷体_GB2312"/>
          <w:kern w:val="0"/>
          <w:sz w:val="28"/>
        </w:rPr>
      </w:pPr>
      <w:r>
        <w:rPr>
          <w:rFonts w:hint="eastAsia" w:eastAsia="楷体_GB2312"/>
          <w:kern w:val="0"/>
          <w:sz w:val="28"/>
        </w:rPr>
        <w:t xml:space="preserve"> </w:t>
      </w:r>
      <w:r>
        <w:rPr>
          <w:rFonts w:hint="eastAsia" w:eastAsia="楷体_GB2312"/>
          <w:kern w:val="0"/>
          <w:sz w:val="28"/>
        </w:rPr>
        <w:tab/>
      </w:r>
      <w:r>
        <w:rPr>
          <w:rFonts w:hint="eastAsia" w:eastAsia="楷体_GB2312"/>
          <w:kern w:val="0"/>
          <w:sz w:val="28"/>
        </w:rPr>
        <w:tab/>
      </w:r>
      <w:r>
        <w:rPr>
          <w:rFonts w:hint="eastAsia" w:eastAsia="楷体_GB2312"/>
          <w:kern w:val="0"/>
          <w:sz w:val="28"/>
        </w:rPr>
        <w:tab/>
      </w:r>
      <w:r>
        <w:rPr>
          <w:rFonts w:hint="eastAsia" w:eastAsia="楷体_GB2312"/>
          <w:kern w:val="0"/>
          <w:sz w:val="28"/>
        </w:rPr>
        <w:t xml:space="preserve"> （乙方） </w:t>
      </w:r>
    </w:p>
    <w:p>
      <w:pPr>
        <w:ind w:firstLine="560"/>
        <w:rPr>
          <w:rFonts w:eastAsia="楷体_GB2312"/>
          <w:kern w:val="0"/>
          <w:sz w:val="28"/>
        </w:rPr>
      </w:pPr>
    </w:p>
    <w:p>
      <w:pPr>
        <w:ind w:firstLine="560"/>
        <w:rPr>
          <w:rFonts w:eastAsia="楷体_GB2312"/>
          <w:color w:val="000000"/>
          <w:kern w:val="0"/>
          <w:sz w:val="28"/>
        </w:rPr>
      </w:pPr>
      <w:r>
        <w:rPr>
          <w:rFonts w:hint="eastAsia" w:eastAsia="楷体_GB2312"/>
          <w:kern w:val="0"/>
          <w:sz w:val="28"/>
        </w:rPr>
        <w:t xml:space="preserve">     </w:t>
      </w:r>
      <w:r>
        <w:rPr>
          <w:rFonts w:hint="eastAsia" w:eastAsia="楷体_GB2312"/>
          <w:kern w:val="0"/>
          <w:sz w:val="28"/>
        </w:rPr>
        <w:tab/>
      </w:r>
      <w:r>
        <w:rPr>
          <w:rFonts w:hint="eastAsia" w:eastAsia="楷体_GB2312"/>
          <w:kern w:val="0"/>
          <w:sz w:val="28"/>
        </w:rPr>
        <w:t>签订日期：</w:t>
      </w:r>
      <w:r>
        <w:rPr>
          <w:rFonts w:eastAsia="楷体_GB2312"/>
          <w:kern w:val="0"/>
          <w:sz w:val="28"/>
        </w:rPr>
        <w:t xml:space="preserve">  </w:t>
      </w:r>
      <w:r>
        <w:rPr>
          <w:rFonts w:hint="eastAsia" w:eastAsia="楷体_GB2312"/>
          <w:kern w:val="0"/>
          <w:sz w:val="28"/>
        </w:rPr>
        <w:t>202</w:t>
      </w:r>
      <w:r>
        <w:rPr>
          <w:rFonts w:eastAsia="楷体_GB2312"/>
          <w:kern w:val="0"/>
          <w:sz w:val="28"/>
        </w:rPr>
        <w:t>4</w:t>
      </w:r>
      <w:r>
        <w:rPr>
          <w:rFonts w:hint="eastAsia" w:eastAsia="楷体_GB2312"/>
          <w:kern w:val="0"/>
          <w:sz w:val="28"/>
        </w:rPr>
        <w:t>年</w:t>
      </w:r>
      <w:r>
        <w:rPr>
          <w:rFonts w:eastAsia="楷体_GB2312"/>
          <w:kern w:val="0"/>
          <w:sz w:val="28"/>
        </w:rPr>
        <w:t xml:space="preserve"> </w:t>
      </w:r>
      <w:r>
        <w:rPr>
          <w:rFonts w:hint="eastAsia" w:eastAsia="楷体_GB2312"/>
          <w:kern w:val="0"/>
          <w:sz w:val="28"/>
        </w:rPr>
        <w:t>X月</w:t>
      </w:r>
      <w:r>
        <w:rPr>
          <w:rFonts w:eastAsia="楷体_GB2312"/>
          <w:kern w:val="0"/>
          <w:sz w:val="28"/>
        </w:rPr>
        <w:t>X</w:t>
      </w:r>
      <w:r>
        <w:rPr>
          <w:rFonts w:hint="eastAsia" w:eastAsia="楷体_GB2312"/>
          <w:kern w:val="0"/>
          <w:sz w:val="28"/>
        </w:rPr>
        <w:t>日</w:t>
      </w:r>
    </w:p>
    <w:p>
      <w:pPr>
        <w:ind w:firstLine="560"/>
        <w:rPr>
          <w:rFonts w:eastAsia="楷体_GB2312"/>
          <w:color w:val="000000"/>
          <w:kern w:val="0"/>
          <w:sz w:val="28"/>
        </w:rPr>
      </w:pPr>
      <w:r>
        <w:rPr>
          <w:rFonts w:hint="eastAsia" w:eastAsia="楷体_GB2312"/>
          <w:color w:val="000000"/>
          <w:kern w:val="0"/>
          <w:sz w:val="28"/>
        </w:rPr>
        <w:t xml:space="preserve">     </w:t>
      </w:r>
      <w:r>
        <w:rPr>
          <w:rFonts w:hint="eastAsia" w:eastAsia="楷体_GB2312"/>
          <w:color w:val="000000"/>
          <w:kern w:val="0"/>
          <w:sz w:val="28"/>
        </w:rPr>
        <w:tab/>
      </w:r>
      <w:r>
        <w:rPr>
          <w:rFonts w:hint="eastAsia" w:eastAsia="楷体_GB2312"/>
          <w:color w:val="000000"/>
          <w:kern w:val="0"/>
          <w:sz w:val="28"/>
        </w:rPr>
        <w:t>有效期限：</w:t>
      </w:r>
      <w:r>
        <w:rPr>
          <w:rFonts w:eastAsia="楷体_GB2312"/>
          <w:color w:val="000000"/>
          <w:kern w:val="0"/>
          <w:sz w:val="28"/>
        </w:rPr>
        <w:t xml:space="preserve">  </w:t>
      </w:r>
      <w:r>
        <w:rPr>
          <w:rFonts w:hint="eastAsia" w:eastAsia="楷体_GB2312"/>
          <w:color w:val="000000"/>
          <w:kern w:val="0"/>
          <w:sz w:val="28"/>
        </w:rPr>
        <w:t>202</w:t>
      </w:r>
      <w:r>
        <w:rPr>
          <w:rFonts w:eastAsia="楷体_GB2312"/>
          <w:color w:val="000000"/>
          <w:kern w:val="0"/>
          <w:sz w:val="28"/>
        </w:rPr>
        <w:t>4</w:t>
      </w:r>
      <w:r>
        <w:rPr>
          <w:rFonts w:hint="eastAsia" w:eastAsia="楷体_GB2312"/>
          <w:color w:val="000000"/>
          <w:kern w:val="0"/>
          <w:sz w:val="28"/>
        </w:rPr>
        <w:t>年</w:t>
      </w:r>
      <w:r>
        <w:rPr>
          <w:rFonts w:eastAsia="楷体_GB2312"/>
          <w:color w:val="000000"/>
          <w:kern w:val="0"/>
          <w:sz w:val="28"/>
        </w:rPr>
        <w:t>X</w:t>
      </w:r>
      <w:r>
        <w:rPr>
          <w:rFonts w:hint="eastAsia" w:eastAsia="楷体_GB2312"/>
          <w:color w:val="000000"/>
          <w:kern w:val="0"/>
          <w:sz w:val="28"/>
        </w:rPr>
        <w:t>月</w:t>
      </w:r>
      <w:r>
        <w:rPr>
          <w:rFonts w:eastAsia="楷体_GB2312"/>
          <w:color w:val="000000"/>
          <w:kern w:val="0"/>
          <w:sz w:val="28"/>
        </w:rPr>
        <w:t>X</w:t>
      </w:r>
      <w:r>
        <w:rPr>
          <w:rFonts w:hint="eastAsia" w:eastAsia="楷体_GB2312"/>
          <w:color w:val="000000"/>
          <w:kern w:val="0"/>
          <w:sz w:val="28"/>
        </w:rPr>
        <w:t>日 至 202</w:t>
      </w:r>
      <w:r>
        <w:rPr>
          <w:rFonts w:eastAsia="楷体_GB2312"/>
          <w:color w:val="000000"/>
          <w:kern w:val="0"/>
          <w:sz w:val="28"/>
        </w:rPr>
        <w:t>5</w:t>
      </w:r>
      <w:r>
        <w:rPr>
          <w:rFonts w:hint="eastAsia" w:eastAsia="楷体_GB2312"/>
          <w:kern w:val="0"/>
          <w:sz w:val="28"/>
        </w:rPr>
        <w:t>年</w:t>
      </w:r>
      <w:r>
        <w:rPr>
          <w:rFonts w:eastAsia="楷体_GB2312"/>
          <w:kern w:val="0"/>
          <w:sz w:val="28"/>
        </w:rPr>
        <w:t>X</w:t>
      </w:r>
      <w:r>
        <w:rPr>
          <w:rFonts w:hint="eastAsia" w:eastAsia="楷体_GB2312"/>
          <w:kern w:val="0"/>
          <w:sz w:val="28"/>
        </w:rPr>
        <w:t>月</w:t>
      </w:r>
      <w:r>
        <w:rPr>
          <w:rFonts w:eastAsia="楷体_GB2312"/>
          <w:kern w:val="0"/>
          <w:sz w:val="28"/>
        </w:rPr>
        <w:t>X</w:t>
      </w:r>
      <w:r>
        <w:rPr>
          <w:rFonts w:hint="eastAsia" w:eastAsia="楷体_GB2312"/>
          <w:kern w:val="0"/>
          <w:sz w:val="28"/>
        </w:rPr>
        <w:t>日</w:t>
      </w:r>
    </w:p>
    <w:p>
      <w:pPr>
        <w:ind w:firstLine="560"/>
        <w:jc w:val="center"/>
        <w:rPr>
          <w:rFonts w:eastAsia="楷体_GB2312"/>
          <w:kern w:val="0"/>
          <w:sz w:val="28"/>
        </w:rPr>
      </w:pPr>
    </w:p>
    <w:p>
      <w:pPr>
        <w:ind w:firstLine="560"/>
        <w:jc w:val="center"/>
        <w:rPr>
          <w:rFonts w:eastAsia="楷体_GB2312"/>
          <w:kern w:val="0"/>
          <w:sz w:val="28"/>
        </w:rPr>
      </w:pPr>
      <w:r>
        <w:rPr>
          <w:rFonts w:hint="eastAsia" w:eastAsia="楷体_GB2312"/>
          <w:kern w:val="0"/>
          <w:sz w:val="28"/>
        </w:rPr>
        <w:t xml:space="preserve"> </w:t>
      </w:r>
    </w:p>
    <w:p>
      <w:pPr>
        <w:ind w:firstLine="560"/>
        <w:rPr>
          <w:rFonts w:ascii="仿宋" w:hAnsi="仿宋" w:eastAsia="仿宋"/>
          <w:kern w:val="0"/>
          <w:sz w:val="28"/>
        </w:rPr>
      </w:pPr>
      <w:r>
        <w:rPr>
          <w:rFonts w:eastAsia="楷体_GB2312"/>
          <w:kern w:val="0"/>
          <w:sz w:val="28"/>
        </w:rPr>
        <w:br w:type="page"/>
      </w:r>
      <w:r>
        <w:rPr>
          <w:rFonts w:hint="eastAsia" w:ascii="仿宋" w:hAnsi="仿宋" w:eastAsia="仿宋"/>
          <w:sz w:val="28"/>
          <w:szCs w:val="28"/>
        </w:rPr>
        <w:t>本合同甲方委托乙方提供</w:t>
      </w:r>
      <w:r>
        <w:rPr>
          <w:rFonts w:hint="eastAsia" w:ascii="仿宋" w:hAnsi="仿宋" w:eastAsia="仿宋"/>
          <w:sz w:val="28"/>
          <w:szCs w:val="28"/>
          <w:u w:val="single"/>
        </w:rPr>
        <w:t>重咨集团网络与信息安全技术服务</w:t>
      </w:r>
      <w:r>
        <w:rPr>
          <w:rFonts w:hint="eastAsia" w:ascii="仿宋" w:hAnsi="仿宋" w:eastAsia="仿宋"/>
          <w:sz w:val="28"/>
          <w:szCs w:val="28"/>
        </w:rPr>
        <w:t>，并向乙方支付相应的报酬。双方经过平等协商，在真实、充分地表达各自意愿的基础上，根据《中华人民共和国民法典》相关条款的规定，达成如下协议，并由双方共同恪守。</w:t>
      </w:r>
    </w:p>
    <w:p>
      <w:pPr>
        <w:jc w:val="left"/>
        <w:outlineLvl w:val="0"/>
        <w:rPr>
          <w:rFonts w:ascii="仿宋" w:hAnsi="仿宋" w:eastAsia="仿宋"/>
          <w:b/>
          <w:sz w:val="28"/>
          <w:szCs w:val="28"/>
        </w:rPr>
      </w:pPr>
      <w:r>
        <w:rPr>
          <w:rFonts w:hint="eastAsia" w:ascii="仿宋" w:hAnsi="仿宋" w:eastAsia="仿宋"/>
          <w:b/>
          <w:sz w:val="28"/>
          <w:szCs w:val="28"/>
        </w:rPr>
        <w:t>一、服务内容</w:t>
      </w:r>
    </w:p>
    <w:p>
      <w:pPr>
        <w:ind w:firstLine="560"/>
        <w:jc w:val="left"/>
        <w:rPr>
          <w:rFonts w:ascii="仿宋" w:hAnsi="仿宋" w:eastAsia="仿宋" w:cs="宋体"/>
          <w:kern w:val="0"/>
          <w:sz w:val="28"/>
          <w:szCs w:val="28"/>
        </w:rPr>
      </w:pPr>
      <w:r>
        <w:rPr>
          <w:rFonts w:hint="eastAsia" w:ascii="仿宋" w:hAnsi="仿宋" w:eastAsia="仿宋" w:cs="宋体"/>
          <w:kern w:val="0"/>
          <w:sz w:val="28"/>
          <w:szCs w:val="28"/>
        </w:rPr>
        <w:t>本合同项下，甲方同意向乙方购买、乙方同意售于甲方下列服务：</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538"/>
        <w:gridCol w:w="6526"/>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序号</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项目名称</w:t>
            </w:r>
          </w:p>
        </w:tc>
        <w:tc>
          <w:tcPr>
            <w:tcW w:w="3264"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服务内容</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数量/期限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安全基础梳理和摸底</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1、主要以管理和技术的手段，通过调研、上机查验等方式，摸清集团在管理制度和安全防护方面的现状、问题，并进行一次漏洞问题排查。</w:t>
            </w:r>
          </w:p>
          <w:p>
            <w:pPr>
              <w:adjustRightInd w:val="0"/>
              <w:snapToGrid w:val="0"/>
              <w:spacing w:before="187" w:after="187" w:line="400" w:lineRule="exact"/>
              <w:jc w:val="left"/>
              <w:rPr>
                <w:rFonts w:ascii="宋体" w:hAnsi="宋体" w:cs="宋体"/>
              </w:rPr>
            </w:pPr>
            <w:r>
              <w:rPr>
                <w:rFonts w:hint="eastAsia" w:ascii="宋体" w:hAnsi="宋体" w:cs="宋体"/>
              </w:rPr>
              <w:t>2、出具《重咨集团网络信息和数据安全管理制度清单》《重咨集团制度运行问题及差距清单》；《重咨集团信息化资产清单》《重咨集团应用系统清单》《重咨集团安全防护策略问题清单》；《漏洞扫描报告》、《基线核查报告》、《渗透测试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网络与信息安全风险评估</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1、根据《中国人民共和国网络安全法》、等级保护制度要求，以及《信息安全技术 信息安全风险评估方法》（GB/T 20984-2022）等评估标准，对重咨集团进行包括物理安全、人员安全、管理安全、建设安全、运维安全、应用安全等的综合性安全风险评估，以识别集团自身在网络与信息安全管理、建设、运维、运营过程中的脆弱性及面临的风险，对风险进行定级并提出风险处理建议，协助重咨集团建立整改流程、跟踪机制，清晰掌握系统安全整改进度、效果、总体情况。</w:t>
            </w:r>
          </w:p>
          <w:p>
            <w:pPr>
              <w:adjustRightInd w:val="0"/>
              <w:snapToGrid w:val="0"/>
              <w:spacing w:before="187" w:after="187" w:line="400" w:lineRule="exact"/>
              <w:jc w:val="left"/>
              <w:rPr>
                <w:rFonts w:ascii="宋体" w:hAnsi="宋体" w:cs="宋体"/>
              </w:rPr>
            </w:pPr>
            <w:r>
              <w:rPr>
                <w:rFonts w:hint="eastAsia" w:ascii="宋体" w:hAnsi="宋体" w:cs="宋体"/>
              </w:rPr>
              <w:t>2、输出《重咨集团网络与信息安全风险评估问题单》、《重咨集团网络与信息安全风险评估报告》。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3</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数据安全风险评估</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根据《中华人民共和国数据安全法》、《重庆市数据条例》等法律法规和文件要求，对重咨集团本部的数据资产梳理以及重要信息系统进行数据安全风险评估，协助集团对数据资产分类分级管理、全生命周期安全防护等方面的完善，包括但不限于数据安全管理制度完善、数据资产梳理、数据分类分级、数据处理活动分析、数据全生命周期安全性防护分析。</w:t>
            </w:r>
          </w:p>
          <w:p>
            <w:pPr>
              <w:adjustRightInd w:val="0"/>
              <w:snapToGrid w:val="0"/>
              <w:spacing w:before="187" w:after="187" w:line="400" w:lineRule="exact"/>
              <w:jc w:val="left"/>
              <w:rPr>
                <w:rFonts w:ascii="宋体" w:hAnsi="宋体" w:cs="宋体"/>
              </w:rPr>
            </w:pPr>
            <w:r>
              <w:rPr>
                <w:rFonts w:hint="eastAsia" w:ascii="宋体" w:hAnsi="宋体" w:cs="宋体"/>
              </w:rPr>
              <w:t>2、输出《重咨集团数据资产清单及分类分级目录》、《重咨集团xx系统数据安全风险评估报告》。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4</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安全加固</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对在安全评估梳理、定期扫描、渗透测试、等保测评、安全检查中发现的漏洞进行安全加固，指导管理员，协助系统建设单位完成加固，并对加固完成情况进行验证把关。输出《重咨集团安全加固报告》。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ascii="宋体" w:hAnsi="宋体" w:cs="宋体"/>
              </w:rPr>
              <w:t>5</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定期扫描服务</w:t>
            </w:r>
          </w:p>
        </w:tc>
        <w:tc>
          <w:tcPr>
            <w:tcW w:w="3264" w:type="pct"/>
            <w:vAlign w:val="center"/>
          </w:tcPr>
          <w:p>
            <w:pPr>
              <w:adjustRightInd w:val="0"/>
              <w:snapToGrid w:val="0"/>
              <w:spacing w:before="187" w:after="187" w:line="400" w:lineRule="exact"/>
              <w:jc w:val="left"/>
              <w:rPr>
                <w:rFonts w:ascii="宋体" w:hAnsi="宋体" w:cs="宋体"/>
              </w:rPr>
            </w:pPr>
            <w:r>
              <w:rPr>
                <w:rFonts w:ascii="宋体" w:hAnsi="宋体" w:cs="宋体"/>
              </w:rPr>
              <w:t>1</w:t>
            </w:r>
            <w:r>
              <w:rPr>
                <w:rFonts w:hint="eastAsia" w:ascii="宋体" w:hAnsi="宋体" w:cs="宋体"/>
              </w:rPr>
              <w:t>、对重咨集团基础网络单元、安全设备和主要信息系统，每月进行安全扫描。针对发现的安全问题提供整改建议，出具《重咨集团网络安全漏扫报告》。</w:t>
            </w:r>
          </w:p>
          <w:p>
            <w:pPr>
              <w:adjustRightInd w:val="0"/>
              <w:snapToGrid w:val="0"/>
              <w:spacing w:before="187" w:after="187" w:line="400" w:lineRule="exact"/>
              <w:jc w:val="left"/>
              <w:rPr>
                <w:rFonts w:ascii="宋体" w:hAnsi="宋体" w:cs="宋体"/>
              </w:rPr>
            </w:pPr>
            <w:r>
              <w:rPr>
                <w:rFonts w:ascii="宋体" w:hAnsi="宋体" w:cs="宋体"/>
              </w:rPr>
              <w:t>2</w:t>
            </w:r>
            <w:r>
              <w:rPr>
                <w:rFonts w:hint="eastAsia" w:ascii="宋体" w:hAnsi="宋体" w:cs="宋体"/>
              </w:rPr>
              <w:t>、针对扫描发现的安全隐患，协助重咨集团建立整改跟踪机制，规范整改行为，协助整改安全隐患，让集团能清晰掌握系统安全整改进度、效果、总体情况，按季度输出漏扫分析报告《重咨集团XX季度漏洞扫描分析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1次/月，共12次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ascii="宋体" w:hAnsi="宋体" w:cs="宋体"/>
              </w:rPr>
              <w:t>6</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定期渗透服务</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1、按约定周期开展渗透测试服务，对重咨集团重要信息系统，定期进行安全渗透测试。针对发现的安全问题提供整改建议，出具《重咨集团xx系统渗透测试报告》。</w:t>
            </w:r>
          </w:p>
          <w:p>
            <w:pPr>
              <w:adjustRightInd w:val="0"/>
              <w:snapToGrid w:val="0"/>
              <w:spacing w:before="187" w:after="187" w:line="400" w:lineRule="exact"/>
              <w:jc w:val="left"/>
              <w:rPr>
                <w:rFonts w:ascii="宋体" w:hAnsi="宋体" w:cs="宋体"/>
              </w:rPr>
            </w:pPr>
            <w:r>
              <w:rPr>
                <w:rFonts w:hint="eastAsia" w:ascii="宋体" w:hAnsi="宋体" w:cs="宋体"/>
              </w:rPr>
              <w:t>2、针对渗透发现的安全隐患，协助重咨集团建立整改跟踪机制，规范整改行为，协助整改安全隐患，让重咨集团能清晰掌握系统安全整改进度、效果、总体情况。服务完输出渗透分析报告《重咨集团渗透测试分析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1次/季度，共4次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7</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安全策略优化</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对重要的网络安全设备进行策略核查，根据应用系统的环境对策略进行优化调整，输出《重咨集团策略优化报告》。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8</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安全监控服务</w:t>
            </w:r>
          </w:p>
        </w:tc>
        <w:tc>
          <w:tcPr>
            <w:tcW w:w="3264" w:type="pct"/>
            <w:vAlign w:val="center"/>
          </w:tcPr>
          <w:p>
            <w:pPr>
              <w:adjustRightInd w:val="0"/>
              <w:snapToGrid w:val="0"/>
              <w:spacing w:before="187" w:after="187" w:line="400" w:lineRule="exact"/>
              <w:jc w:val="left"/>
              <w:rPr>
                <w:rFonts w:ascii="宋体" w:hAnsi="宋体" w:cs="宋体"/>
              </w:rPr>
            </w:pPr>
            <w:r>
              <w:rPr>
                <w:rFonts w:ascii="宋体" w:hAnsi="宋体" w:cs="宋体"/>
              </w:rPr>
              <w:t>1</w:t>
            </w:r>
            <w:r>
              <w:rPr>
                <w:rFonts w:hint="eastAsia" w:ascii="宋体" w:hAnsi="宋体" w:cs="宋体"/>
              </w:rPr>
              <w:t>、1年365天7×24小时，至少每隔30分钟一次对重咨集团网站群的网站以及咨采平台网站页面进行安全性、可用性持续监控；有效反馈被监控系统的安全状态，及时发现系统被篡改、被植入恶意代码等、网络故障、服务宕机等安全事件；通过电话实时进行安全事件告警。</w:t>
            </w:r>
          </w:p>
          <w:p>
            <w:pPr>
              <w:adjustRightInd w:val="0"/>
              <w:snapToGrid w:val="0"/>
              <w:spacing w:before="187" w:after="187" w:line="400" w:lineRule="exact"/>
              <w:jc w:val="left"/>
              <w:rPr>
                <w:rFonts w:ascii="宋体" w:hAnsi="宋体" w:cs="宋体"/>
              </w:rPr>
            </w:pPr>
            <w:r>
              <w:rPr>
                <w:rFonts w:hint="eastAsia" w:ascii="宋体" w:hAnsi="宋体" w:cs="宋体"/>
              </w:rPr>
              <w:t>2、每半年输出一次监测分析报告《重咨集团网站安全监测分析报告》。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9</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安全培训</w:t>
            </w:r>
          </w:p>
        </w:tc>
        <w:tc>
          <w:tcPr>
            <w:tcW w:w="3264" w:type="pct"/>
            <w:vAlign w:val="center"/>
          </w:tcPr>
          <w:p>
            <w:pPr>
              <w:adjustRightInd w:val="0"/>
              <w:snapToGrid w:val="0"/>
              <w:spacing w:before="187" w:after="187" w:line="400" w:lineRule="exact"/>
              <w:jc w:val="left"/>
              <w:rPr>
                <w:rFonts w:ascii="宋体" w:hAnsi="宋体" w:cs="宋体"/>
              </w:rPr>
            </w:pPr>
            <w:r>
              <w:rPr>
                <w:rFonts w:ascii="宋体" w:hAnsi="宋体" w:cs="宋体"/>
              </w:rPr>
              <w:t>1</w:t>
            </w:r>
            <w:r>
              <w:rPr>
                <w:rFonts w:hint="eastAsia" w:ascii="宋体" w:hAnsi="宋体" w:cs="宋体"/>
              </w:rPr>
              <w:t>、在服务有效期内提供不少于两次安全培训，并提供培训课件。</w:t>
            </w:r>
          </w:p>
          <w:p>
            <w:pPr>
              <w:adjustRightInd w:val="0"/>
              <w:snapToGrid w:val="0"/>
              <w:spacing w:before="187" w:after="187" w:line="400" w:lineRule="exact"/>
              <w:jc w:val="left"/>
              <w:rPr>
                <w:rFonts w:ascii="宋体" w:hAnsi="宋体" w:cs="宋体"/>
              </w:rPr>
            </w:pPr>
            <w:r>
              <w:rPr>
                <w:rFonts w:hint="eastAsia" w:ascii="宋体" w:hAnsi="宋体" w:cs="宋体"/>
              </w:rPr>
              <w:t>2、针对重咨集团全体员工进行网络安全意识培训，提升集团全员网络与信息安全防范意识，不少于4学时。</w:t>
            </w:r>
          </w:p>
          <w:p>
            <w:pPr>
              <w:adjustRightInd w:val="0"/>
              <w:snapToGrid w:val="0"/>
              <w:spacing w:before="187" w:after="187" w:line="400" w:lineRule="exact"/>
              <w:jc w:val="left"/>
              <w:rPr>
                <w:rFonts w:ascii="宋体" w:hAnsi="宋体" w:cs="宋体"/>
              </w:rPr>
            </w:pPr>
            <w:r>
              <w:rPr>
                <w:rFonts w:ascii="宋体" w:hAnsi="宋体" w:cs="宋体"/>
              </w:rPr>
              <w:t>3</w:t>
            </w:r>
            <w:r>
              <w:rPr>
                <w:rFonts w:hint="eastAsia" w:ascii="宋体" w:hAnsi="宋体" w:cs="宋体"/>
              </w:rPr>
              <w:t>、针对重咨集团的技术人员开展进行网络安全涉及的法律法规、政策规定、网络安全防护基础，安全事件处置、安全基线达标、漏洞扫描及渗透测试等方面的培训。培训后运维人员能够掌握基本信息安全知识和工具使用方法，提升运维人员的安全技能，不少于8学时。</w:t>
            </w:r>
          </w:p>
          <w:p>
            <w:pPr>
              <w:adjustRightInd w:val="0"/>
              <w:snapToGrid w:val="0"/>
              <w:spacing w:before="187" w:after="187" w:line="400" w:lineRule="exact"/>
              <w:jc w:val="left"/>
              <w:rPr>
                <w:rFonts w:ascii="宋体" w:hAnsi="宋体" w:cs="宋体"/>
              </w:rPr>
            </w:pPr>
            <w:r>
              <w:rPr>
                <w:rFonts w:hint="eastAsia" w:ascii="宋体" w:hAnsi="宋体" w:cs="宋体"/>
              </w:rPr>
              <w:t>4、输出《重咨集团安全培训课件》、《安全培训记录》、《安全培训考查记录》。</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ascii="宋体" w:hAnsi="宋体" w:cs="宋体"/>
              </w:rPr>
              <w:t>0</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应急预案及演练</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1、协助完善重咨集团的安全应急预案。</w:t>
            </w:r>
          </w:p>
          <w:p>
            <w:pPr>
              <w:adjustRightInd w:val="0"/>
              <w:snapToGrid w:val="0"/>
              <w:spacing w:before="187" w:after="187" w:line="400" w:lineRule="exact"/>
              <w:jc w:val="left"/>
              <w:rPr>
                <w:rFonts w:ascii="宋体" w:hAnsi="宋体" w:cs="宋体"/>
              </w:rPr>
            </w:pPr>
            <w:r>
              <w:rPr>
                <w:rFonts w:hint="eastAsia" w:ascii="宋体" w:hAnsi="宋体" w:cs="宋体"/>
              </w:rPr>
              <w:t>2、</w:t>
            </w:r>
            <w:r>
              <w:rPr>
                <w:rFonts w:hint="eastAsia" w:ascii="宋体" w:hAnsi="宋体" w:cs="宋体"/>
                <w:lang w:eastAsia="zh-Hans"/>
              </w:rPr>
              <w:t>根据</w:t>
            </w:r>
            <w:r>
              <w:rPr>
                <w:rFonts w:hint="eastAsia" w:ascii="宋体" w:hAnsi="宋体" w:cs="宋体"/>
              </w:rPr>
              <w:t>重咨</w:t>
            </w:r>
            <w:r>
              <w:rPr>
                <w:rFonts w:hint="eastAsia" w:ascii="宋体" w:hAnsi="宋体" w:cs="宋体"/>
                <w:lang w:eastAsia="zh-Hans"/>
              </w:rPr>
              <w:t>集团要求，制定演练计划，编写网络安全应急演练方案，搭建演练环境，安排技术人员到集团</w:t>
            </w:r>
            <w:r>
              <w:rPr>
                <w:rFonts w:hint="eastAsia" w:ascii="宋体" w:hAnsi="宋体" w:cs="宋体"/>
              </w:rPr>
              <w:t>开展现场应急演练，对应急演练存在的不足提出优化建议，协助</w:t>
            </w:r>
            <w:r>
              <w:rPr>
                <w:rFonts w:hint="eastAsia" w:ascii="宋体" w:hAnsi="宋体" w:cs="宋体"/>
                <w:lang w:eastAsia="zh-Hans"/>
              </w:rPr>
              <w:t>集团</w:t>
            </w:r>
            <w:r>
              <w:rPr>
                <w:rFonts w:hint="eastAsia" w:ascii="宋体" w:hAnsi="宋体" w:cs="宋体"/>
              </w:rPr>
              <w:t>提升应对突发网络安全事件的监控能力和处置能力。</w:t>
            </w:r>
          </w:p>
          <w:p>
            <w:pPr>
              <w:adjustRightInd w:val="0"/>
              <w:snapToGrid w:val="0"/>
              <w:spacing w:before="187" w:after="187" w:line="400" w:lineRule="exact"/>
              <w:jc w:val="left"/>
              <w:rPr>
                <w:rFonts w:ascii="宋体" w:hAnsi="宋体" w:cs="宋体"/>
              </w:rPr>
            </w:pPr>
            <w:r>
              <w:rPr>
                <w:rFonts w:ascii="宋体" w:hAnsi="宋体" w:cs="宋体"/>
              </w:rPr>
              <w:t>3</w:t>
            </w:r>
            <w:r>
              <w:rPr>
                <w:rFonts w:hint="eastAsia" w:ascii="宋体" w:hAnsi="宋体" w:cs="宋体"/>
              </w:rPr>
              <w:t>、输出《重咨集团网络与信息安全应急预案》、《重咨集团网络信息与数据安全总体应急预案框架》、《重咨集团XXX事件应急演练方案》、《重咨集团应急演练总结》。</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hint="eastAsia" w:ascii="宋体" w:hAnsi="宋体" w:cs="宋体"/>
                <w:lang w:eastAsia="zh-Hans"/>
              </w:rPr>
              <w:t>次</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ascii="宋体" w:hAnsi="宋体" w:cs="宋体"/>
              </w:rPr>
              <w:t>1</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应急响应</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针对外部黑客入侵、数据泄露、木马病毒等突发安全事件时，进行应急响应处理，避免事态恶化。遇到遭遇攻击或网页被篡改等恶性事件，要求1小时内到达现场，实施有效的紧急救援及恢复补救方案。应急响应服务工作完成后，针对此次事件的问题现象、发生原因以及处理过程，预防措施与建议进行总结报告。出具《重咨集团网络安全应急响应报告》。</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不限次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w:t>
            </w:r>
            <w:r>
              <w:rPr>
                <w:rFonts w:ascii="宋体" w:hAnsi="宋体" w:cs="宋体"/>
              </w:rPr>
              <w:t>2</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安全检查服务</w:t>
            </w:r>
          </w:p>
        </w:tc>
        <w:tc>
          <w:tcPr>
            <w:tcW w:w="3264" w:type="pct"/>
            <w:vAlign w:val="center"/>
          </w:tcPr>
          <w:p>
            <w:pPr>
              <w:adjustRightInd w:val="0"/>
              <w:snapToGrid w:val="0"/>
              <w:spacing w:before="187" w:after="187" w:line="400" w:lineRule="exact"/>
              <w:jc w:val="left"/>
              <w:rPr>
                <w:rFonts w:ascii="宋体" w:hAnsi="宋体" w:cs="宋体"/>
              </w:rPr>
            </w:pPr>
            <w:r>
              <w:rPr>
                <w:rFonts w:hint="eastAsia" w:ascii="宋体" w:hAnsi="宋体" w:cs="宋体"/>
              </w:rPr>
              <w:t>在接受网络安全主管部门检查或上级部门开展网络安全检查期间的自查、差距分析、整改及陪同检查服务、相关工作配合服务。</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不限次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pPr>
              <w:adjustRightInd w:val="0"/>
              <w:snapToGrid w:val="0"/>
              <w:spacing w:before="187" w:after="187" w:line="400" w:lineRule="exact"/>
              <w:jc w:val="center"/>
              <w:rPr>
                <w:rFonts w:ascii="宋体" w:hAnsi="宋体" w:cs="宋体"/>
              </w:rPr>
            </w:pPr>
            <w:r>
              <w:rPr>
                <w:rFonts w:ascii="宋体" w:hAnsi="宋体" w:cs="宋体"/>
              </w:rPr>
              <w:t>13</w:t>
            </w:r>
          </w:p>
        </w:tc>
        <w:tc>
          <w:tcPr>
            <w:tcW w:w="769"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网络与信息安全专业人员驻场服务</w:t>
            </w:r>
          </w:p>
        </w:tc>
        <w:tc>
          <w:tcPr>
            <w:tcW w:w="3264" w:type="pct"/>
            <w:vAlign w:val="center"/>
          </w:tcPr>
          <w:p>
            <w:pPr>
              <w:adjustRightInd w:val="0"/>
              <w:snapToGrid w:val="0"/>
              <w:spacing w:before="187" w:after="187" w:line="400" w:lineRule="exact"/>
              <w:jc w:val="left"/>
            </w:pPr>
            <w:r>
              <w:rPr>
                <w:rFonts w:hint="eastAsia" w:ascii="宋体" w:hAnsi="宋体" w:cs="宋体"/>
              </w:rPr>
              <w:t>派遣</w:t>
            </w:r>
            <w:r>
              <w:rPr>
                <w:rFonts w:ascii="宋体" w:hAnsi="宋体" w:cs="宋体"/>
              </w:rPr>
              <w:t>1</w:t>
            </w:r>
            <w:r>
              <w:rPr>
                <w:rFonts w:hint="eastAsia" w:ascii="宋体" w:hAnsi="宋体" w:cs="宋体"/>
              </w:rPr>
              <w:t>位具有多年网络与信息安全行业工作经历的</w:t>
            </w:r>
            <w:r>
              <w:rPr>
                <w:rFonts w:hint="eastAsia"/>
              </w:rPr>
              <w:t>安全服务工程师</w:t>
            </w:r>
            <w:r>
              <w:rPr>
                <w:rFonts w:hint="eastAsia" w:ascii="宋体" w:hAnsi="宋体" w:cs="宋体"/>
              </w:rPr>
              <w:t>驻场服务，协助重咨集团开展网络安全、数据安全等相关工作。驻场服务人员需全日制本科及以上学历，安全或计算机相关专业，相关行业工作一年以上，具有网络信息安全相关证书（</w:t>
            </w:r>
            <w:r>
              <w:rPr>
                <w:rFonts w:ascii="宋体" w:hAnsi="宋体" w:cs="宋体"/>
              </w:rPr>
              <w:t>CISP</w:t>
            </w:r>
            <w:r>
              <w:rPr>
                <w:rFonts w:hint="eastAsia" w:ascii="宋体" w:hAnsi="宋体" w:cs="宋体"/>
              </w:rPr>
              <w:t>或</w:t>
            </w:r>
            <w:r>
              <w:rPr>
                <w:rFonts w:ascii="宋体" w:hAnsi="宋体" w:cs="宋体"/>
              </w:rPr>
              <w:t>CISAW</w:t>
            </w:r>
            <w:r>
              <w:rPr>
                <w:rFonts w:hint="eastAsia" w:ascii="宋体" w:hAnsi="宋体" w:cs="宋体"/>
              </w:rPr>
              <w:t>或</w:t>
            </w:r>
            <w:r>
              <w:rPr>
                <w:rFonts w:ascii="宋体" w:hAnsi="宋体" w:cs="宋体"/>
              </w:rPr>
              <w:t>CISSP</w:t>
            </w:r>
            <w:r>
              <w:rPr>
                <w:rFonts w:hint="eastAsia" w:ascii="宋体" w:hAnsi="宋体" w:cs="宋体"/>
              </w:rPr>
              <w:t>），具有相关工作能力。</w:t>
            </w:r>
            <w:r>
              <w:rPr>
                <w:rFonts w:hint="eastAsia"/>
              </w:rPr>
              <w:t>能对集团现有网信数安和商用密码安全性等相关管理制度文件进行修订、完善，并建立一套合规、全面并且符合集团组织机构的安全管理制度体系文件。能结合集团现有业务系统、网络架构、网络和安全策略以及日志进行分析和评估，能找出安全薄弱点，提出符合重咨集团安全需求的网络策略优化建议，并推进网络设备厂商或运维方优化实施。驻场人员工作时间按采购人正常上班时间执行，如遇特殊重大保障，按采购人安排开展工作。根据采购人安排完成相关工作。</w:t>
            </w:r>
            <w:r>
              <w:rPr>
                <w:rFonts w:hint="eastAsia" w:ascii="宋体" w:hAnsi="宋体" w:cs="宋体"/>
              </w:rPr>
              <w:t>在服务期内未经采购人同意，驻场人员不得从事与采购人要求的服务内容无关的其他工作或比选申请人随意更换驻场人员。</w:t>
            </w:r>
          </w:p>
        </w:tc>
        <w:tc>
          <w:tcPr>
            <w:tcW w:w="457" w:type="pct"/>
            <w:vAlign w:val="center"/>
          </w:tcPr>
          <w:p>
            <w:pPr>
              <w:adjustRightInd w:val="0"/>
              <w:snapToGrid w:val="0"/>
              <w:spacing w:before="187" w:after="187" w:line="400" w:lineRule="exact"/>
              <w:jc w:val="center"/>
              <w:rPr>
                <w:rFonts w:ascii="宋体" w:hAnsi="宋体" w:cs="宋体"/>
              </w:rPr>
            </w:pPr>
            <w:r>
              <w:rPr>
                <w:rFonts w:hint="eastAsia" w:ascii="宋体" w:hAnsi="宋体" w:cs="宋体"/>
              </w:rPr>
              <w:t>1人/年</w:t>
            </w:r>
          </w:p>
        </w:tc>
      </w:tr>
    </w:tbl>
    <w:p>
      <w:pPr>
        <w:outlineLvl w:val="0"/>
        <w:rPr>
          <w:rFonts w:ascii="仿宋" w:hAnsi="仿宋" w:eastAsia="仿宋"/>
          <w:b/>
          <w:sz w:val="28"/>
          <w:szCs w:val="28"/>
        </w:rPr>
      </w:pPr>
      <w:r>
        <w:rPr>
          <w:rFonts w:hint="eastAsia" w:ascii="仿宋" w:hAnsi="仿宋" w:eastAsia="仿宋"/>
          <w:b/>
          <w:sz w:val="28"/>
          <w:szCs w:val="28"/>
        </w:rPr>
        <w:t>二、服务期限、地点</w:t>
      </w:r>
    </w:p>
    <w:p>
      <w:pPr>
        <w:ind w:firstLine="560"/>
        <w:rPr>
          <w:rFonts w:ascii="仿宋" w:hAnsi="仿宋" w:eastAsia="仿宋"/>
          <w:sz w:val="28"/>
          <w:szCs w:val="28"/>
        </w:rPr>
      </w:pPr>
      <w:r>
        <w:rPr>
          <w:rFonts w:hint="eastAsia" w:ascii="仿宋" w:hAnsi="仿宋" w:eastAsia="仿宋"/>
          <w:sz w:val="28"/>
          <w:szCs w:val="28"/>
        </w:rPr>
        <w:t>服务期限：</w:t>
      </w:r>
      <w:r>
        <w:rPr>
          <w:rFonts w:hint="eastAsia" w:ascii="仿宋" w:hAnsi="仿宋" w:eastAsia="仿宋"/>
          <w:b/>
          <w:sz w:val="28"/>
          <w:szCs w:val="30"/>
          <w:u w:val="single"/>
        </w:rPr>
        <w:t>202</w:t>
      </w:r>
      <w:r>
        <w:rPr>
          <w:rFonts w:ascii="仿宋" w:hAnsi="仿宋" w:eastAsia="仿宋"/>
          <w:b/>
          <w:sz w:val="28"/>
          <w:szCs w:val="30"/>
          <w:u w:val="single"/>
        </w:rPr>
        <w:t>4</w:t>
      </w:r>
      <w:r>
        <w:rPr>
          <w:rFonts w:hint="eastAsia" w:ascii="仿宋" w:hAnsi="仿宋" w:eastAsia="仿宋"/>
          <w:b/>
          <w:sz w:val="28"/>
          <w:szCs w:val="30"/>
          <w:u w:val="single"/>
        </w:rPr>
        <w:t>年</w:t>
      </w:r>
      <w:r>
        <w:rPr>
          <w:rFonts w:ascii="仿宋" w:hAnsi="仿宋" w:eastAsia="仿宋"/>
          <w:b/>
          <w:sz w:val="28"/>
          <w:szCs w:val="30"/>
          <w:u w:val="single"/>
        </w:rPr>
        <w:t>X</w:t>
      </w:r>
      <w:r>
        <w:rPr>
          <w:rFonts w:hint="eastAsia" w:ascii="仿宋" w:hAnsi="仿宋" w:eastAsia="仿宋"/>
          <w:b/>
          <w:sz w:val="28"/>
          <w:szCs w:val="30"/>
          <w:u w:val="single"/>
        </w:rPr>
        <w:t>月</w:t>
      </w:r>
      <w:r>
        <w:rPr>
          <w:rFonts w:ascii="仿宋" w:hAnsi="仿宋" w:eastAsia="仿宋"/>
          <w:b/>
          <w:sz w:val="28"/>
          <w:szCs w:val="30"/>
          <w:u w:val="single"/>
        </w:rPr>
        <w:t>X</w:t>
      </w:r>
      <w:r>
        <w:rPr>
          <w:rFonts w:hint="eastAsia" w:ascii="仿宋" w:hAnsi="仿宋" w:eastAsia="仿宋"/>
          <w:b/>
          <w:sz w:val="28"/>
          <w:szCs w:val="30"/>
          <w:u w:val="single"/>
        </w:rPr>
        <w:t>日至</w:t>
      </w:r>
      <w:r>
        <w:rPr>
          <w:rFonts w:hint="eastAsia" w:ascii="仿宋" w:hAnsi="仿宋" w:eastAsia="仿宋"/>
          <w:b/>
          <w:color w:val="000000"/>
          <w:sz w:val="28"/>
          <w:szCs w:val="30"/>
          <w:u w:val="single"/>
        </w:rPr>
        <w:t>20</w:t>
      </w:r>
      <w:r>
        <w:rPr>
          <w:rFonts w:hint="eastAsia" w:ascii="仿宋" w:hAnsi="仿宋" w:eastAsia="仿宋"/>
          <w:b/>
          <w:sz w:val="28"/>
          <w:szCs w:val="30"/>
          <w:u w:val="single"/>
        </w:rPr>
        <w:t>2</w:t>
      </w:r>
      <w:r>
        <w:rPr>
          <w:rFonts w:ascii="仿宋" w:hAnsi="仿宋" w:eastAsia="仿宋"/>
          <w:b/>
          <w:sz w:val="28"/>
          <w:szCs w:val="30"/>
          <w:u w:val="single"/>
        </w:rPr>
        <w:t>5</w:t>
      </w:r>
      <w:r>
        <w:rPr>
          <w:rFonts w:hint="eastAsia" w:ascii="仿宋" w:hAnsi="仿宋" w:eastAsia="仿宋"/>
          <w:b/>
          <w:sz w:val="28"/>
          <w:szCs w:val="30"/>
          <w:u w:val="single"/>
        </w:rPr>
        <w:t>年</w:t>
      </w:r>
      <w:r>
        <w:rPr>
          <w:rFonts w:ascii="仿宋" w:hAnsi="仿宋" w:eastAsia="仿宋"/>
          <w:b/>
          <w:sz w:val="28"/>
          <w:szCs w:val="30"/>
          <w:u w:val="single"/>
        </w:rPr>
        <w:t>X</w:t>
      </w:r>
      <w:r>
        <w:rPr>
          <w:rFonts w:hint="eastAsia" w:ascii="仿宋" w:hAnsi="仿宋" w:eastAsia="仿宋"/>
          <w:b/>
          <w:sz w:val="28"/>
          <w:szCs w:val="30"/>
          <w:u w:val="single"/>
        </w:rPr>
        <w:t>月</w:t>
      </w:r>
      <w:r>
        <w:rPr>
          <w:rFonts w:ascii="仿宋" w:hAnsi="仿宋" w:eastAsia="仿宋"/>
          <w:b/>
          <w:sz w:val="28"/>
          <w:szCs w:val="30"/>
          <w:u w:val="single"/>
        </w:rPr>
        <w:t>X</w:t>
      </w:r>
      <w:r>
        <w:rPr>
          <w:rFonts w:hint="eastAsia" w:ascii="仿宋" w:hAnsi="仿宋" w:eastAsia="仿宋"/>
          <w:b/>
          <w:sz w:val="28"/>
          <w:szCs w:val="30"/>
          <w:u w:val="single"/>
        </w:rPr>
        <w:t>日</w:t>
      </w:r>
      <w:r>
        <w:rPr>
          <w:rFonts w:hint="eastAsia" w:ascii="仿宋" w:hAnsi="仿宋" w:eastAsia="仿宋"/>
          <w:sz w:val="28"/>
          <w:szCs w:val="28"/>
        </w:rPr>
        <w:t>。</w:t>
      </w:r>
    </w:p>
    <w:p>
      <w:pPr>
        <w:ind w:firstLine="560"/>
        <w:rPr>
          <w:rFonts w:ascii="仿宋" w:hAnsi="仿宋" w:eastAsia="仿宋" w:cs="宋体"/>
          <w:sz w:val="28"/>
          <w:szCs w:val="28"/>
        </w:rPr>
      </w:pPr>
      <w:r>
        <w:rPr>
          <w:rFonts w:hint="eastAsia" w:ascii="仿宋" w:hAnsi="仿宋" w:eastAsia="仿宋"/>
          <w:sz w:val="28"/>
          <w:szCs w:val="28"/>
        </w:rPr>
        <w:t>服务地点：重庆市江北区五简路2号。</w:t>
      </w:r>
    </w:p>
    <w:p>
      <w:pPr>
        <w:ind w:firstLine="560"/>
        <w:rPr>
          <w:rFonts w:ascii="仿宋" w:hAnsi="仿宋" w:eastAsia="仿宋"/>
          <w:sz w:val="28"/>
          <w:szCs w:val="28"/>
          <w:u w:val="single"/>
        </w:rPr>
      </w:pPr>
      <w:r>
        <w:rPr>
          <w:rFonts w:hint="eastAsia" w:ascii="仿宋" w:hAnsi="仿宋" w:eastAsia="仿宋"/>
          <w:sz w:val="28"/>
          <w:szCs w:val="28"/>
        </w:rPr>
        <w:t>甲方对接人：</w:t>
      </w:r>
      <w:r>
        <w:rPr>
          <w:rFonts w:hint="eastAsia" w:ascii="仿宋" w:hAnsi="仿宋" w:eastAsia="仿宋"/>
          <w:sz w:val="28"/>
          <w:szCs w:val="28"/>
          <w:u w:val="single"/>
        </w:rPr>
        <w:t xml:space="preserve">   </w:t>
      </w:r>
      <w:r>
        <w:rPr>
          <w:rFonts w:hint="eastAsia" w:ascii="仿宋" w:hAnsi="仿宋" w:eastAsia="仿宋"/>
          <w:sz w:val="28"/>
          <w:szCs w:val="28"/>
        </w:rPr>
        <w:t>，电话：</w:t>
      </w:r>
      <w:r>
        <w:rPr>
          <w:rFonts w:ascii="仿宋" w:hAnsi="仿宋" w:eastAsia="仿宋"/>
          <w:sz w:val="28"/>
          <w:szCs w:val="28"/>
          <w:u w:val="single"/>
        </w:rPr>
        <w:t xml:space="preserve">   </w:t>
      </w:r>
    </w:p>
    <w:p>
      <w:pPr>
        <w:pStyle w:val="3"/>
        <w:ind w:firstLine="560"/>
        <w:rPr>
          <w:u w:val="single"/>
        </w:rPr>
      </w:pPr>
      <w:r>
        <w:rPr>
          <w:rFonts w:hint="eastAsia"/>
        </w:rPr>
        <w:t>乙方对接人：</w:t>
      </w:r>
      <w:r>
        <w:rPr>
          <w:rFonts w:hint="eastAsia"/>
          <w:u w:val="single"/>
        </w:rPr>
        <w:t xml:space="preserve"> </w:t>
      </w:r>
      <w:r>
        <w:rPr>
          <w:u w:val="single"/>
        </w:rPr>
        <w:t xml:space="preserve">  </w:t>
      </w:r>
      <w:r>
        <w:rPr>
          <w:rFonts w:hint="eastAsia" w:ascii="仿宋" w:hAnsi="仿宋" w:eastAsia="仿宋"/>
        </w:rPr>
        <w:t>，电话：</w:t>
      </w:r>
      <w:r>
        <w:rPr>
          <w:rFonts w:ascii="仿宋" w:hAnsi="仿宋" w:eastAsia="仿宋"/>
          <w:u w:val="single"/>
        </w:rPr>
        <w:t xml:space="preserve">   </w:t>
      </w:r>
    </w:p>
    <w:p>
      <w:pPr>
        <w:outlineLvl w:val="0"/>
        <w:rPr>
          <w:rFonts w:ascii="仿宋" w:hAnsi="仿宋" w:eastAsia="仿宋"/>
          <w:b/>
          <w:sz w:val="28"/>
          <w:szCs w:val="28"/>
        </w:rPr>
      </w:pPr>
      <w:r>
        <w:rPr>
          <w:rFonts w:hint="eastAsia" w:ascii="仿宋" w:hAnsi="仿宋" w:eastAsia="仿宋"/>
          <w:b/>
          <w:sz w:val="28"/>
          <w:szCs w:val="28"/>
        </w:rPr>
        <w:t>三、付款方式</w:t>
      </w:r>
    </w:p>
    <w:p>
      <w:pPr>
        <w:numPr>
          <w:ilvl w:val="0"/>
          <w:numId w:val="4"/>
        </w:numPr>
        <w:adjustRightInd w:val="0"/>
        <w:spacing w:line="360" w:lineRule="auto"/>
        <w:textAlignment w:val="baseline"/>
        <w:rPr>
          <w:rFonts w:ascii="仿宋" w:hAnsi="仿宋" w:eastAsia="仿宋"/>
          <w:sz w:val="28"/>
          <w:szCs w:val="30"/>
        </w:rPr>
      </w:pPr>
      <w:r>
        <w:rPr>
          <w:rFonts w:ascii="仿宋" w:hAnsi="仿宋" w:eastAsia="仿宋"/>
          <w:sz w:val="28"/>
          <w:szCs w:val="30"/>
        </w:rPr>
        <w:t>本</w:t>
      </w:r>
      <w:r>
        <w:rPr>
          <w:rFonts w:hint="eastAsia" w:ascii="仿宋" w:hAnsi="仿宋" w:eastAsia="仿宋"/>
          <w:sz w:val="28"/>
          <w:szCs w:val="30"/>
        </w:rPr>
        <w:t>合同服务</w:t>
      </w:r>
      <w:r>
        <w:rPr>
          <w:rFonts w:ascii="仿宋" w:hAnsi="仿宋" w:eastAsia="仿宋"/>
          <w:sz w:val="28"/>
          <w:szCs w:val="30"/>
        </w:rPr>
        <w:t>费</w:t>
      </w:r>
      <w:r>
        <w:rPr>
          <w:rFonts w:hint="eastAsia" w:ascii="仿宋" w:hAnsi="仿宋" w:eastAsia="仿宋"/>
          <w:sz w:val="28"/>
          <w:szCs w:val="30"/>
        </w:rPr>
        <w:t>总额</w:t>
      </w:r>
      <w:r>
        <w:rPr>
          <w:rFonts w:hint="eastAsia" w:ascii="仿宋" w:hAnsi="仿宋" w:eastAsia="仿宋"/>
          <w:color w:val="000000"/>
          <w:sz w:val="28"/>
          <w:szCs w:val="30"/>
        </w:rPr>
        <w:t>：</w:t>
      </w:r>
      <w:r>
        <w:rPr>
          <w:rFonts w:hint="eastAsia" w:ascii="仿宋" w:hAnsi="仿宋" w:eastAsia="仿宋"/>
          <w:b/>
          <w:color w:val="000000"/>
          <w:sz w:val="28"/>
          <w:szCs w:val="30"/>
          <w:u w:val="single"/>
        </w:rPr>
        <w:t>￥xxxx元</w:t>
      </w:r>
      <w:r>
        <w:rPr>
          <w:rFonts w:hint="eastAsia" w:ascii="仿宋" w:hAnsi="仿宋" w:eastAsia="仿宋"/>
          <w:color w:val="000000"/>
          <w:sz w:val="28"/>
          <w:szCs w:val="30"/>
        </w:rPr>
        <w:t>（大写：xxxxx）。</w:t>
      </w:r>
    </w:p>
    <w:p>
      <w:pPr>
        <w:widowControl/>
        <w:numPr>
          <w:ilvl w:val="0"/>
          <w:numId w:val="4"/>
        </w:numPr>
        <w:adjustRightInd w:val="0"/>
        <w:spacing w:line="360" w:lineRule="auto"/>
        <w:jc w:val="left"/>
        <w:textAlignment w:val="baseline"/>
        <w:rPr>
          <w:rFonts w:ascii="仿宋" w:hAnsi="仿宋" w:eastAsia="仿宋"/>
          <w:color w:val="000000"/>
          <w:sz w:val="28"/>
          <w:szCs w:val="28"/>
        </w:rPr>
      </w:pPr>
      <w:r>
        <w:rPr>
          <w:rFonts w:hint="eastAsia" w:ascii="仿宋" w:hAnsi="仿宋" w:eastAsia="仿宋"/>
          <w:sz w:val="28"/>
          <w:szCs w:val="30"/>
        </w:rPr>
        <w:t>支付方式</w:t>
      </w:r>
    </w:p>
    <w:p>
      <w:pPr>
        <w:widowControl/>
        <w:ind w:firstLine="560"/>
        <w:jc w:val="left"/>
        <w:rPr>
          <w:rFonts w:ascii="仿宋" w:hAnsi="仿宋" w:eastAsia="仿宋"/>
          <w:color w:val="000000"/>
          <w:sz w:val="28"/>
          <w:szCs w:val="30"/>
        </w:rPr>
      </w:pPr>
      <w:r>
        <w:rPr>
          <w:rFonts w:hint="eastAsia" w:ascii="仿宋" w:hAnsi="仿宋" w:eastAsia="仿宋"/>
          <w:color w:val="000000"/>
          <w:sz w:val="28"/>
          <w:szCs w:val="30"/>
        </w:rPr>
        <w:t xml:space="preserve">1、合同签订后 10 个工作日内，甲方向乙方支付合同总额的 30%； </w:t>
      </w:r>
    </w:p>
    <w:p>
      <w:pPr>
        <w:widowControl/>
        <w:ind w:firstLine="560"/>
        <w:jc w:val="left"/>
        <w:rPr>
          <w:rFonts w:ascii="仿宋" w:hAnsi="仿宋" w:eastAsia="仿宋"/>
          <w:color w:val="000000"/>
          <w:sz w:val="28"/>
          <w:szCs w:val="30"/>
        </w:rPr>
      </w:pPr>
      <w:r>
        <w:rPr>
          <w:rFonts w:hint="eastAsia" w:ascii="仿宋" w:hAnsi="仿宋" w:eastAsia="仿宋"/>
          <w:color w:val="000000"/>
          <w:sz w:val="28"/>
          <w:szCs w:val="30"/>
        </w:rPr>
        <w:t>2、乙方完成安全基础梳理和摸底、网络与信息安全风险评估和数据安全风险评估，出具相应报告，通过甲方验收后 10 个工作日内，甲方向乙方支付合同总额的30%；</w:t>
      </w:r>
    </w:p>
    <w:p>
      <w:pPr>
        <w:widowControl/>
        <w:ind w:firstLine="560"/>
        <w:jc w:val="left"/>
        <w:rPr>
          <w:rFonts w:ascii="仿宋" w:hAnsi="仿宋" w:eastAsia="仿宋"/>
          <w:color w:val="000000"/>
          <w:sz w:val="28"/>
          <w:szCs w:val="30"/>
        </w:rPr>
      </w:pPr>
      <w:r>
        <w:rPr>
          <w:rFonts w:hint="eastAsia" w:ascii="仿宋" w:hAnsi="仿宋" w:eastAsia="仿宋"/>
          <w:color w:val="000000"/>
          <w:sz w:val="28"/>
          <w:szCs w:val="30"/>
        </w:rPr>
        <w:t>3、乙方完成全部服务内容且无违约情形，并提交相关成果文件后10个工作日内，甲方向乙方支付合同总额的 40%。</w:t>
      </w:r>
    </w:p>
    <w:p>
      <w:pPr>
        <w:widowControl/>
        <w:ind w:firstLine="560"/>
        <w:jc w:val="left"/>
        <w:rPr>
          <w:rFonts w:ascii="仿宋" w:hAnsi="仿宋" w:eastAsia="仿宋"/>
          <w:color w:val="000000"/>
          <w:sz w:val="28"/>
          <w:szCs w:val="30"/>
        </w:rPr>
      </w:pPr>
      <w:r>
        <w:rPr>
          <w:rFonts w:hint="eastAsia" w:eastAsia="仿宋"/>
          <w:sz w:val="28"/>
          <w:szCs w:val="28"/>
        </w:rPr>
        <w:t>乙方向甲方提供相应款项增值税专用发票，甲方收到发票后完成相应费用支付。</w:t>
      </w:r>
    </w:p>
    <w:p>
      <w:pPr>
        <w:numPr>
          <w:ilvl w:val="0"/>
          <w:numId w:val="4"/>
        </w:numPr>
        <w:adjustRightInd w:val="0"/>
        <w:spacing w:line="360" w:lineRule="auto"/>
        <w:textAlignment w:val="baseline"/>
        <w:rPr>
          <w:rFonts w:ascii="仿宋" w:hAnsi="仿宋" w:eastAsia="仿宋"/>
          <w:color w:val="000000"/>
          <w:sz w:val="28"/>
          <w:szCs w:val="30"/>
        </w:rPr>
      </w:pPr>
      <w:r>
        <w:rPr>
          <w:rFonts w:hint="eastAsia" w:ascii="仿宋" w:hAnsi="仿宋" w:eastAsia="仿宋"/>
          <w:color w:val="000000"/>
          <w:sz w:val="28"/>
          <w:szCs w:val="30"/>
        </w:rPr>
        <w:t>乙方开户银行名称、地址和帐号为：</w:t>
      </w:r>
    </w:p>
    <w:p>
      <w:pPr>
        <w:ind w:firstLine="520" w:firstLineChars="186"/>
        <w:rPr>
          <w:rFonts w:ascii="仿宋" w:hAnsi="仿宋" w:eastAsia="仿宋"/>
          <w:color w:val="000000"/>
          <w:sz w:val="28"/>
          <w:szCs w:val="30"/>
        </w:rPr>
      </w:pPr>
      <w:r>
        <w:rPr>
          <w:rFonts w:hint="eastAsia" w:ascii="仿宋" w:hAnsi="仿宋" w:eastAsia="仿宋"/>
          <w:color w:val="000000"/>
          <w:sz w:val="28"/>
          <w:szCs w:val="30"/>
        </w:rPr>
        <w:t xml:space="preserve">       开户银行：</w:t>
      </w:r>
      <w:r>
        <w:rPr>
          <w:rFonts w:hint="eastAsia" w:ascii="仿宋" w:hAnsi="仿宋" w:eastAsia="仿宋"/>
          <w:color w:val="000000"/>
          <w:sz w:val="28"/>
          <w:szCs w:val="30"/>
          <w:u w:val="single"/>
        </w:rPr>
        <w:t xml:space="preserve">  </w:t>
      </w:r>
      <w:r>
        <w:rPr>
          <w:rFonts w:ascii="仿宋" w:hAnsi="仿宋" w:eastAsia="仿宋"/>
          <w:color w:val="000000"/>
          <w:sz w:val="28"/>
          <w:szCs w:val="30"/>
          <w:u w:val="single"/>
        </w:rPr>
        <w:t xml:space="preserve">              </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p>
    <w:p>
      <w:pPr>
        <w:ind w:firstLine="520" w:firstLineChars="186"/>
        <w:rPr>
          <w:rFonts w:ascii="仿宋" w:hAnsi="仿宋" w:eastAsia="仿宋"/>
          <w:color w:val="000000"/>
          <w:sz w:val="28"/>
          <w:szCs w:val="30"/>
        </w:rPr>
      </w:pPr>
      <w:r>
        <w:rPr>
          <w:rFonts w:hint="eastAsia" w:ascii="仿宋" w:hAnsi="仿宋" w:eastAsia="仿宋"/>
          <w:color w:val="000000"/>
          <w:sz w:val="28"/>
          <w:szCs w:val="30"/>
        </w:rPr>
        <w:t xml:space="preserve">       地    址：</w:t>
      </w:r>
      <w:r>
        <w:rPr>
          <w:rFonts w:hint="eastAsia" w:ascii="仿宋" w:hAnsi="仿宋" w:eastAsia="仿宋"/>
          <w:color w:val="000000"/>
          <w:sz w:val="28"/>
          <w:szCs w:val="30"/>
          <w:u w:val="single"/>
        </w:rPr>
        <w:t xml:space="preserve">  </w:t>
      </w:r>
      <w:r>
        <w:rPr>
          <w:rFonts w:ascii="仿宋" w:hAnsi="仿宋" w:eastAsia="仿宋"/>
          <w:color w:val="000000"/>
          <w:sz w:val="28"/>
          <w:szCs w:val="30"/>
          <w:u w:val="single"/>
        </w:rPr>
        <w:t xml:space="preserve">              </w:t>
      </w:r>
      <w:r>
        <w:rPr>
          <w:rFonts w:hint="eastAsia" w:ascii="仿宋" w:hAnsi="仿宋" w:eastAsia="仿宋"/>
          <w:color w:val="000000"/>
          <w:sz w:val="28"/>
          <w:szCs w:val="30"/>
        </w:rPr>
        <w:t xml:space="preserve">                           </w:t>
      </w:r>
    </w:p>
    <w:p>
      <w:pPr>
        <w:widowControl/>
        <w:ind w:firstLine="560"/>
        <w:jc w:val="left"/>
        <w:rPr>
          <w:rFonts w:ascii="仿宋" w:hAnsi="仿宋" w:eastAsia="仿宋" w:cs="宋体"/>
          <w:kern w:val="0"/>
          <w:sz w:val="28"/>
          <w:szCs w:val="28"/>
        </w:rPr>
      </w:pPr>
      <w:r>
        <w:rPr>
          <w:rFonts w:hint="eastAsia" w:ascii="仿宋" w:hAnsi="仿宋" w:eastAsia="仿宋"/>
          <w:color w:val="000000"/>
          <w:sz w:val="28"/>
          <w:szCs w:val="30"/>
        </w:rPr>
        <w:t xml:space="preserve">      </w:t>
      </w:r>
      <w:r>
        <w:rPr>
          <w:rFonts w:ascii="仿宋" w:hAnsi="仿宋" w:eastAsia="仿宋"/>
          <w:color w:val="000000"/>
          <w:sz w:val="28"/>
          <w:szCs w:val="30"/>
        </w:rPr>
        <w:t xml:space="preserve"> </w:t>
      </w:r>
      <w:r>
        <w:rPr>
          <w:rFonts w:hint="eastAsia" w:ascii="仿宋" w:hAnsi="仿宋" w:eastAsia="仿宋"/>
          <w:color w:val="000000"/>
          <w:sz w:val="28"/>
          <w:szCs w:val="30"/>
        </w:rPr>
        <w:t>帐    号：</w:t>
      </w:r>
      <w:r>
        <w:rPr>
          <w:rFonts w:hint="eastAsia" w:ascii="仿宋" w:hAnsi="仿宋" w:eastAsia="仿宋"/>
          <w:color w:val="000000"/>
          <w:sz w:val="28"/>
          <w:szCs w:val="30"/>
          <w:u w:val="single"/>
        </w:rPr>
        <w:t xml:space="preserve"> </w:t>
      </w:r>
      <w:r>
        <w:rPr>
          <w:rFonts w:ascii="仿宋" w:hAnsi="仿宋" w:eastAsia="仿宋"/>
          <w:color w:val="000000"/>
          <w:sz w:val="28"/>
          <w:szCs w:val="30"/>
          <w:u w:val="single"/>
        </w:rPr>
        <w:t xml:space="preserve">                    </w:t>
      </w:r>
      <w:r>
        <w:rPr>
          <w:rFonts w:hint="eastAsia" w:ascii="仿宋" w:hAnsi="仿宋" w:eastAsia="仿宋"/>
          <w:color w:val="000000"/>
          <w:sz w:val="28"/>
          <w:szCs w:val="30"/>
        </w:rPr>
        <w:t xml:space="preserve">    </w:t>
      </w:r>
    </w:p>
    <w:p>
      <w:pPr>
        <w:outlineLvl w:val="0"/>
        <w:rPr>
          <w:rFonts w:ascii="仿宋" w:hAnsi="仿宋" w:eastAsia="仿宋"/>
          <w:b/>
          <w:sz w:val="28"/>
          <w:szCs w:val="28"/>
        </w:rPr>
      </w:pPr>
      <w:r>
        <w:rPr>
          <w:rFonts w:hint="eastAsia" w:ascii="仿宋" w:hAnsi="仿宋" w:eastAsia="仿宋"/>
          <w:b/>
          <w:sz w:val="28"/>
          <w:szCs w:val="28"/>
        </w:rPr>
        <w:t>四、双方的权利和义务</w:t>
      </w:r>
    </w:p>
    <w:p>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left"/>
        <w:textAlignment w:val="baseline"/>
        <w:rPr>
          <w:rFonts w:ascii="仿宋" w:hAnsi="仿宋" w:eastAsia="仿宋"/>
          <w:color w:val="000000"/>
          <w:sz w:val="28"/>
          <w:szCs w:val="30"/>
        </w:rPr>
      </w:pPr>
      <w:r>
        <w:rPr>
          <w:rFonts w:ascii="仿宋" w:hAnsi="仿宋" w:eastAsia="仿宋"/>
          <w:color w:val="000000"/>
          <w:sz w:val="28"/>
          <w:szCs w:val="30"/>
        </w:rPr>
        <w:t>甲方的权利和义务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1、甲方依据合同按时支付相应价款。</w:t>
      </w:r>
    </w:p>
    <w:p>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left"/>
        <w:textAlignment w:val="baseline"/>
        <w:rPr>
          <w:rFonts w:ascii="仿宋" w:hAnsi="仿宋" w:eastAsia="仿宋"/>
          <w:color w:val="000000"/>
          <w:sz w:val="28"/>
          <w:szCs w:val="30"/>
        </w:rPr>
      </w:pPr>
      <w:r>
        <w:rPr>
          <w:rFonts w:ascii="仿宋" w:hAnsi="仿宋" w:eastAsia="仿宋"/>
          <w:color w:val="000000"/>
          <w:sz w:val="28"/>
          <w:szCs w:val="30"/>
        </w:rPr>
        <w:t>乙方的权利和义务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jc w:val="left"/>
        <w:rPr>
          <w:rFonts w:ascii="仿宋" w:hAnsi="仿宋" w:eastAsia="仿宋" w:cs="宋体"/>
          <w:kern w:val="0"/>
          <w:sz w:val="28"/>
          <w:szCs w:val="28"/>
        </w:rPr>
      </w:pPr>
      <w:r>
        <w:rPr>
          <w:rFonts w:hint="eastAsia" w:ascii="仿宋" w:hAnsi="仿宋" w:eastAsia="仿宋" w:cs="宋体"/>
          <w:kern w:val="0"/>
          <w:sz w:val="28"/>
          <w:szCs w:val="28"/>
        </w:rPr>
        <w:t>1、乙方</w:t>
      </w:r>
      <w:r>
        <w:rPr>
          <w:rFonts w:ascii="仿宋" w:hAnsi="仿宋" w:eastAsia="仿宋" w:cs="宋体"/>
          <w:kern w:val="0"/>
          <w:sz w:val="28"/>
          <w:szCs w:val="28"/>
        </w:rPr>
        <w:t>根据甲方的要求和本合同的约定，</w:t>
      </w:r>
      <w:r>
        <w:rPr>
          <w:rFonts w:hint="eastAsia" w:ascii="仿宋" w:hAnsi="仿宋" w:eastAsia="仿宋" w:cs="宋体"/>
          <w:kern w:val="0"/>
          <w:sz w:val="28"/>
          <w:szCs w:val="28"/>
        </w:rPr>
        <w:t>按时开展相关服务。</w:t>
      </w:r>
    </w:p>
    <w:p>
      <w:pPr>
        <w:pStyle w:val="3"/>
        <w:ind w:firstLine="560"/>
        <w:rPr>
          <w:rFonts w:ascii="仿宋" w:hAnsi="仿宋" w:eastAsia="仿宋"/>
          <w:kern w:val="0"/>
        </w:rPr>
      </w:pPr>
      <w:r>
        <w:rPr>
          <w:rFonts w:hint="eastAsia" w:ascii="仿宋" w:hAnsi="仿宋" w:eastAsia="仿宋"/>
          <w:kern w:val="0"/>
        </w:rPr>
        <w:t>2、乙方派遣至少1位具有多年网络与信息安全行业工作经历的安全服务工程师驻场服务，协助重咨集团开展网络安全、数据安全等相关工作。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3、乙方应组织满足岗位技能要求（1、全日制本科及以上学历，安全或计算机相关专业；2、相关行业工作一年以上；3、具有网络信息安全相关证书（CISP或CISAW或CISSP）；4、有该岗位相适应的IT能力）的人员到甲方指定地点开展工作，服从甲方工作安排，并保证在该项目实施完成前相应人员不能撤离实施现场。</w:t>
      </w:r>
    </w:p>
    <w:p>
      <w:pPr>
        <w:pStyle w:val="3"/>
        <w:ind w:firstLine="560"/>
        <w:rPr>
          <w:rFonts w:ascii="仿宋" w:hAnsi="仿宋" w:eastAsia="仿宋"/>
          <w:kern w:val="0"/>
        </w:rPr>
      </w:pPr>
      <w:r>
        <w:rPr>
          <w:rFonts w:hint="eastAsia" w:ascii="仿宋" w:hAnsi="仿宋" w:eastAsia="仿宋"/>
          <w:kern w:val="0"/>
        </w:rPr>
        <w:t>4、乙方安排的人员在工作期间，必须服从甲方的工作规定和安全管理制度。若乙方工作人员不服从甲方管理，乙方应按照甲方的更换要求，更换相应人员；若乙方工作人员不服从甲方管理，给甲方造成其他后果，甲方则有权解除本合同并向乙方提出损失索赔。</w:t>
      </w:r>
    </w:p>
    <w:p>
      <w:pPr>
        <w:pStyle w:val="3"/>
        <w:ind w:firstLine="560"/>
        <w:rPr>
          <w:rFonts w:ascii="仿宋" w:hAnsi="仿宋" w:eastAsia="仿宋"/>
          <w:kern w:val="0"/>
        </w:rPr>
      </w:pPr>
      <w:r>
        <w:rPr>
          <w:rFonts w:ascii="仿宋" w:hAnsi="仿宋" w:eastAsia="仿宋"/>
          <w:kern w:val="0"/>
        </w:rPr>
        <w:t>5</w:t>
      </w:r>
      <w:r>
        <w:rPr>
          <w:rFonts w:hint="eastAsia" w:ascii="仿宋" w:hAnsi="仿宋" w:eastAsia="仿宋"/>
          <w:kern w:val="0"/>
        </w:rPr>
        <w:t>、乙方应当对自己所指派的人员开展安全教育工作，做好安全保障措施。该人员所发生的身体健康、人身安全、财产安全事故以及产生的费用、经济损失、经济赔偿责任由乙方自行承担，与甲方无关。</w:t>
      </w:r>
    </w:p>
    <w:p>
      <w:pPr>
        <w:pStyle w:val="3"/>
        <w:ind w:firstLine="560"/>
        <w:rPr>
          <w:rFonts w:ascii="仿宋" w:hAnsi="仿宋" w:eastAsia="仿宋"/>
          <w:kern w:val="0"/>
        </w:rPr>
      </w:pPr>
      <w:r>
        <w:rPr>
          <w:rFonts w:ascii="仿宋" w:hAnsi="仿宋" w:eastAsia="仿宋"/>
          <w:kern w:val="0"/>
        </w:rPr>
        <w:t>6</w:t>
      </w:r>
      <w:r>
        <w:rPr>
          <w:rFonts w:hint="eastAsia" w:ascii="仿宋" w:hAnsi="仿宋" w:eastAsia="仿宋"/>
          <w:kern w:val="0"/>
        </w:rPr>
        <w:t>、乙方及其组织和实施项目工作的人员为履行本合同所产生的费用由乙方自行承担，甲方不另行承担费用。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jc w:val="left"/>
        <w:rPr>
          <w:rFonts w:ascii="仿宋" w:hAnsi="仿宋" w:eastAsia="仿宋" w:cs="宋体"/>
          <w:kern w:val="0"/>
          <w:sz w:val="28"/>
          <w:szCs w:val="28"/>
        </w:rPr>
      </w:pPr>
      <w:r>
        <w:rPr>
          <w:rFonts w:ascii="仿宋" w:hAnsi="仿宋" w:eastAsia="仿宋" w:cs="宋体"/>
          <w:kern w:val="0"/>
          <w:sz w:val="28"/>
          <w:szCs w:val="28"/>
        </w:rPr>
        <w:t>7</w:t>
      </w:r>
      <w:r>
        <w:rPr>
          <w:rFonts w:hint="eastAsia" w:ascii="仿宋" w:hAnsi="仿宋" w:eastAsia="仿宋" w:cs="宋体"/>
          <w:kern w:val="0"/>
          <w:sz w:val="28"/>
          <w:szCs w:val="28"/>
        </w:rPr>
        <w:t>、乙方</w:t>
      </w:r>
      <w:r>
        <w:rPr>
          <w:rFonts w:ascii="仿宋" w:hAnsi="仿宋" w:eastAsia="仿宋" w:cs="宋体"/>
          <w:kern w:val="0"/>
          <w:sz w:val="28"/>
          <w:szCs w:val="28"/>
        </w:rPr>
        <w:t>为甲方提供服务时，应严格遵守双方的有关规章制度</w:t>
      </w:r>
      <w:r>
        <w:rPr>
          <w:rFonts w:hint="eastAsia" w:ascii="仿宋" w:hAnsi="仿宋" w:eastAsia="仿宋" w:cs="宋体"/>
          <w:kern w:val="0"/>
          <w:sz w:val="28"/>
          <w:szCs w:val="28"/>
        </w:rPr>
        <w:t>。</w:t>
      </w:r>
      <w:r>
        <w:rPr>
          <w:rFonts w:ascii="仿宋" w:hAnsi="仿宋" w:eastAsia="仿宋" w:cs="宋体"/>
          <w:kern w:val="0"/>
          <w:sz w:val="28"/>
          <w:szCs w:val="28"/>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color w:val="000000"/>
          <w:kern w:val="0"/>
          <w:sz w:val="28"/>
          <w:szCs w:val="28"/>
        </w:rPr>
      </w:pPr>
      <w:r>
        <w:rPr>
          <w:rFonts w:hint="eastAsia" w:ascii="仿宋" w:hAnsi="仿宋" w:eastAsia="仿宋" w:cs="宋体"/>
          <w:kern w:val="0"/>
          <w:sz w:val="28"/>
          <w:szCs w:val="28"/>
        </w:rPr>
        <w:t>8、</w:t>
      </w:r>
      <w:r>
        <w:rPr>
          <w:rFonts w:ascii="仿宋" w:hAnsi="仿宋" w:eastAsia="仿宋" w:cs="宋体"/>
          <w:kern w:val="0"/>
          <w:sz w:val="28"/>
          <w:szCs w:val="28"/>
        </w:rPr>
        <w:t>乙方在为甲方提供服务中，需保护甲方</w:t>
      </w:r>
      <w:r>
        <w:rPr>
          <w:rFonts w:hint="eastAsia" w:ascii="仿宋" w:hAnsi="仿宋" w:eastAsia="仿宋" w:cs="宋体"/>
          <w:kern w:val="0"/>
          <w:sz w:val="28"/>
          <w:szCs w:val="28"/>
        </w:rPr>
        <w:t>的</w:t>
      </w:r>
      <w:r>
        <w:rPr>
          <w:rFonts w:ascii="仿宋" w:hAnsi="仿宋" w:eastAsia="仿宋" w:cs="宋体"/>
          <w:kern w:val="0"/>
          <w:sz w:val="28"/>
          <w:szCs w:val="28"/>
        </w:rPr>
        <w:t>各种设施设备</w:t>
      </w:r>
      <w:r>
        <w:rPr>
          <w:rFonts w:hint="eastAsia" w:ascii="仿宋" w:hAnsi="仿宋" w:eastAsia="仿宋" w:cs="宋体"/>
          <w:kern w:val="0"/>
          <w:sz w:val="28"/>
          <w:szCs w:val="28"/>
        </w:rPr>
        <w:t>、</w:t>
      </w:r>
      <w:r>
        <w:rPr>
          <w:rFonts w:ascii="仿宋" w:hAnsi="仿宋" w:eastAsia="仿宋" w:cs="宋体"/>
          <w:kern w:val="0"/>
          <w:sz w:val="28"/>
          <w:szCs w:val="28"/>
        </w:rPr>
        <w:t>建筑</w:t>
      </w:r>
      <w:r>
        <w:rPr>
          <w:rFonts w:ascii="仿宋" w:hAnsi="仿宋" w:eastAsia="仿宋" w:cs="宋体"/>
          <w:color w:val="000000"/>
          <w:kern w:val="0"/>
          <w:sz w:val="28"/>
          <w:szCs w:val="28"/>
        </w:rPr>
        <w:t>物的完好无损</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乙方</w:t>
      </w:r>
      <w:r>
        <w:rPr>
          <w:rFonts w:hint="eastAsia" w:ascii="仿宋" w:hAnsi="仿宋" w:eastAsia="仿宋" w:cs="宋体"/>
          <w:color w:val="000000"/>
          <w:kern w:val="0"/>
          <w:sz w:val="28"/>
          <w:szCs w:val="28"/>
        </w:rPr>
        <w:t>工作人员</w:t>
      </w:r>
      <w:r>
        <w:rPr>
          <w:rFonts w:ascii="仿宋" w:hAnsi="仿宋" w:eastAsia="仿宋" w:cs="宋体"/>
          <w:color w:val="000000"/>
          <w:kern w:val="0"/>
          <w:sz w:val="28"/>
          <w:szCs w:val="28"/>
        </w:rPr>
        <w:t>因严重违反有关规定造成的一切损失，由乙方承担</w:t>
      </w:r>
      <w:r>
        <w:rPr>
          <w:rFonts w:hint="eastAsia" w:ascii="仿宋" w:hAnsi="仿宋" w:eastAsia="仿宋" w:cs="宋体"/>
          <w:color w:val="000000"/>
          <w:kern w:val="0"/>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ascii="仿宋" w:hAnsi="仿宋" w:eastAsia="仿宋" w:cs="宋体"/>
          <w:kern w:val="0"/>
          <w:sz w:val="28"/>
          <w:szCs w:val="28"/>
        </w:rPr>
        <w:t>9</w:t>
      </w:r>
      <w:r>
        <w:rPr>
          <w:rFonts w:hint="eastAsia" w:ascii="仿宋" w:hAnsi="仿宋" w:eastAsia="仿宋" w:cs="宋体"/>
          <w:kern w:val="0"/>
          <w:sz w:val="28"/>
          <w:szCs w:val="28"/>
        </w:rPr>
        <w:t>、乙方人员对因测试工作需要而接触到的甲方机密信息或暂时未公开的信息负有保密义务。</w:t>
      </w:r>
    </w:p>
    <w:p>
      <w:pPr>
        <w:pStyle w:val="3"/>
        <w:ind w:firstLine="560"/>
        <w:rPr>
          <w:highlight w:val="yellow"/>
        </w:rPr>
      </w:pPr>
      <w:r>
        <w:rPr>
          <w:rFonts w:ascii="仿宋" w:hAnsi="仿宋" w:eastAsia="仿宋"/>
          <w:color w:val="000000"/>
          <w:kern w:val="0"/>
        </w:rPr>
        <w:t>10</w:t>
      </w:r>
      <w:r>
        <w:rPr>
          <w:rFonts w:hint="eastAsia" w:ascii="仿宋" w:hAnsi="仿宋" w:eastAsia="仿宋"/>
          <w:color w:val="000000"/>
          <w:kern w:val="0"/>
        </w:rPr>
        <w:t>、乙方保证不擅自将甲方提供的纸质及电子文档复制给其他单位或个人。</w:t>
      </w:r>
    </w:p>
    <w:p>
      <w:pPr>
        <w:outlineLvl w:val="0"/>
        <w:rPr>
          <w:rFonts w:ascii="仿宋" w:hAnsi="仿宋" w:eastAsia="仿宋"/>
          <w:b/>
          <w:sz w:val="28"/>
          <w:szCs w:val="28"/>
        </w:rPr>
      </w:pPr>
      <w:bookmarkStart w:id="66" w:name="_Toc279863418"/>
      <w:r>
        <w:rPr>
          <w:rFonts w:hint="eastAsia" w:ascii="仿宋" w:hAnsi="仿宋" w:eastAsia="仿宋"/>
          <w:b/>
          <w:sz w:val="28"/>
          <w:szCs w:val="28"/>
        </w:rPr>
        <w:t>五、验收</w:t>
      </w:r>
    </w:p>
    <w:p>
      <w:pPr>
        <w:pStyle w:val="3"/>
        <w:ind w:firstLine="560"/>
        <w:rPr>
          <w:rFonts w:ascii="仿宋" w:hAnsi="仿宋" w:eastAsia="仿宋"/>
          <w:kern w:val="0"/>
        </w:rPr>
      </w:pPr>
      <w:r>
        <w:rPr>
          <w:rFonts w:hint="eastAsia" w:ascii="仿宋" w:hAnsi="仿宋" w:eastAsia="仿宋"/>
          <w:kern w:val="0"/>
        </w:rPr>
        <w:t>乙方在完成服务内容等工作后，甲方在7个工作日内对乙方的完成情况按照国家及行业相关标准、比选文件及投标文件规定对合同标的物进行验收，如验收达不到相关规定要求，视为该项目验收不合格，甲方有权立即终止合同。由此对甲方造成一定的损失，乙方应承担一切责任，并赔偿所造成的损失。</w:t>
      </w:r>
    </w:p>
    <w:p>
      <w:pPr>
        <w:outlineLvl w:val="0"/>
        <w:rPr>
          <w:rFonts w:ascii="仿宋" w:hAnsi="仿宋" w:eastAsia="仿宋"/>
          <w:b/>
          <w:sz w:val="28"/>
          <w:szCs w:val="28"/>
        </w:rPr>
      </w:pPr>
      <w:r>
        <w:rPr>
          <w:rFonts w:hint="eastAsia" w:ascii="仿宋" w:hAnsi="仿宋" w:eastAsia="仿宋"/>
          <w:b/>
          <w:sz w:val="28"/>
          <w:szCs w:val="28"/>
        </w:rPr>
        <w:t>六、知识产权及保密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、相关服务的成果和结论属甲方所有，乙方对其引用和公开应得到甲方的书面授权；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2、甲方对乙方提供的注明保密的技术信息和资料负有保密责任，未经乙方同意不得提供给无关的任何第三方，国家有关机关、甲方的上级主管单位除外；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3、乙方对从甲方获得的相关技术信息和技术资料（包括但不限于服务中涉及的技术信息和技术资料，以及有关会议文件和决定；甲、乙双方之间工作往来的传真、信函、电子邮件等；实施过程中产生的技术信息和技术资料；实施过程中各有关当事人拥有的知识产权，已经公开的知识产权信息除外；经甲、乙双方在实施过程中确认的需要保密的其他信息）负有保密责任，未经甲方同意不得提供给任何第三方，包括乙方的分支机构、子公司或委托顾问方、接受咨询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4、乙方为承担本合同约定的保密责任，应妥善保管有关的文件和资料，未经甲方事先的书面许可，不对其复制，仿造等。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5、乙方无论是以何种形式和方式（直接或间接）从甲方获得保密信息，也不论这些信息是否标注为保密，乙方都应视之为保密信息。乙方如违反相关保密条款，乙方应向甲方承担违约责任，赔偿甲方的直接经济损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6、甲、乙双方及驻场人员均应签署《保密协议》，对双方的保密责任和义务进行约定。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7、甲乙双方必须采取相应的安全措施，遵守和履行上述保密约定。乙方违反上述保密约定，故意、过错或过失泄密的，除应立即采取措施停止泄密行为，减小泄密造成的损失外，还应向甲方支付合同总价10%的违约金，违约金不足以赔偿甲方损失的，则以甲方实际损失为准。同时，甲方还有权根据泄密造成损失的大小，单方解除本合同。</w:t>
      </w:r>
    </w:p>
    <w:p>
      <w:pPr>
        <w:outlineLvl w:val="0"/>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违约责任</w:t>
      </w:r>
      <w:bookmarkEnd w:id="66"/>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、因乙方不能按照本合同约定提供服务、履行义务的，</w:t>
      </w:r>
      <w:r>
        <w:rPr>
          <w:rFonts w:ascii="仿宋" w:hAnsi="仿宋" w:eastAsia="仿宋" w:cs="宋体"/>
          <w:kern w:val="0"/>
          <w:sz w:val="28"/>
          <w:szCs w:val="28"/>
        </w:rPr>
        <w:t>甲方有权要求乙方在一定期限内解决，逾期未解决属乙方严重违约，甲方有权解除本合同。因此给甲方造成经济损失的，乙方应给予甲方经济赔偿</w:t>
      </w:r>
      <w:r>
        <w:rPr>
          <w:rFonts w:hint="eastAsia" w:ascii="仿宋" w:hAnsi="仿宋" w:eastAsia="仿宋" w:cs="宋体"/>
          <w:kern w:val="0"/>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因乙方工作人员原因给甲方所造成损失，乙方承担全责任</w:t>
      </w:r>
      <w:r>
        <w:rPr>
          <w:rFonts w:hint="eastAsia" w:ascii="仿宋" w:hAnsi="仿宋" w:eastAsia="仿宋" w:cs="宋体"/>
          <w:kern w:val="0"/>
          <w:sz w:val="28"/>
          <w:szCs w:val="28"/>
        </w:rPr>
        <w:t>。</w:t>
      </w:r>
    </w:p>
    <w:p>
      <w:pPr>
        <w:pStyle w:val="3"/>
        <w:ind w:firstLine="560"/>
        <w:rPr>
          <w:rFonts w:ascii="仿宋" w:hAnsi="仿宋" w:eastAsia="仿宋"/>
          <w:kern w:val="0"/>
        </w:rPr>
      </w:pPr>
      <w:r>
        <w:rPr>
          <w:rFonts w:hint="eastAsia" w:ascii="仿宋" w:hAnsi="仿宋" w:eastAsia="仿宋"/>
          <w:kern w:val="0"/>
        </w:rPr>
        <w:t>3、乙方在服务过程中，所产生的人身或财产安全和安全事故均由乙方承担，与甲方无关。给甲方人员或设备造成损害的乙方应当负赔偿责任。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4、因乙方违反本合同的约定对甲方提供的机密信息、纸质及电子文档泄露给其他单位或个人，乙方应承担甲方全部损失及合同总额10%的违约金。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5、</w:t>
      </w:r>
      <w:r>
        <w:rPr>
          <w:rFonts w:ascii="仿宋" w:hAnsi="仿宋" w:eastAsia="仿宋" w:cs="宋体"/>
          <w:kern w:val="0"/>
          <w:sz w:val="28"/>
          <w:szCs w:val="28"/>
        </w:rPr>
        <w:t>本合同任何一方无正当理由提前解除合同的，应向对方支付违约金。违约金金额相当于</w:t>
      </w:r>
      <w:r>
        <w:rPr>
          <w:rFonts w:hint="eastAsia" w:ascii="仿宋" w:hAnsi="仿宋" w:eastAsia="仿宋" w:cs="宋体"/>
          <w:kern w:val="0"/>
          <w:sz w:val="28"/>
          <w:szCs w:val="28"/>
        </w:rPr>
        <w:t>合同总金额的</w:t>
      </w:r>
      <w:r>
        <w:rPr>
          <w:rFonts w:hint="eastAsia" w:ascii="仿宋" w:hAnsi="仿宋" w:eastAsia="仿宋" w:cs="宋体"/>
          <w:kern w:val="0"/>
          <w:sz w:val="28"/>
          <w:szCs w:val="28"/>
          <w:u w:val="single"/>
        </w:rPr>
        <w:t>10%</w:t>
      </w:r>
      <w:r>
        <w:rPr>
          <w:rFonts w:ascii="仿宋" w:hAnsi="仿宋" w:eastAsia="仿宋" w:cs="宋体"/>
          <w:kern w:val="0"/>
          <w:sz w:val="28"/>
          <w:szCs w:val="28"/>
        </w:rPr>
        <w:t>。由于解除本合同给对方造成的经济损失超过违约金的，违约方还应给予对方赔偿</w:t>
      </w:r>
      <w:r>
        <w:rPr>
          <w:rFonts w:hint="eastAsia" w:ascii="仿宋" w:hAnsi="仿宋" w:eastAsia="仿宋" w:cs="宋体"/>
          <w:kern w:val="0"/>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6、因乙方原因造成设备损坏的，乙方应进行修理、更换并赔偿甲方因此造成的损失。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7、</w:t>
      </w:r>
      <w:r>
        <w:rPr>
          <w:rFonts w:ascii="仿宋" w:hAnsi="仿宋" w:eastAsia="仿宋" w:cs="宋体"/>
          <w:kern w:val="0"/>
          <w:sz w:val="28"/>
          <w:szCs w:val="28"/>
        </w:rPr>
        <w:t>如因不可抗力导致双方无法履行本合同的，本合同终止</w:t>
      </w:r>
      <w:r>
        <w:rPr>
          <w:rFonts w:hint="eastAsia" w:ascii="仿宋" w:hAnsi="仿宋" w:eastAsia="仿宋" w:cs="宋体"/>
          <w:kern w:val="0"/>
          <w:sz w:val="28"/>
          <w:szCs w:val="28"/>
        </w:rPr>
        <w:t>，</w:t>
      </w:r>
      <w:r>
        <w:rPr>
          <w:rFonts w:ascii="仿宋" w:hAnsi="仿宋" w:eastAsia="仿宋" w:cs="宋体"/>
          <w:kern w:val="0"/>
          <w:sz w:val="28"/>
          <w:szCs w:val="28"/>
        </w:rPr>
        <w:t>双方均不承担违约责任</w:t>
      </w:r>
      <w:r>
        <w:rPr>
          <w:rFonts w:hint="eastAsia" w:ascii="仿宋" w:hAnsi="仿宋" w:eastAsia="仿宋" w:cs="宋体"/>
          <w:kern w:val="0"/>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ascii="仿宋" w:hAnsi="仿宋" w:eastAsia="仿宋" w:cs="宋体"/>
          <w:kern w:val="0"/>
          <w:sz w:val="28"/>
          <w:szCs w:val="28"/>
        </w:rPr>
        <w:t>8</w:t>
      </w:r>
      <w:r>
        <w:rPr>
          <w:rFonts w:hint="eastAsia" w:ascii="仿宋" w:hAnsi="仿宋" w:eastAsia="仿宋" w:cs="宋体"/>
          <w:kern w:val="0"/>
          <w:sz w:val="28"/>
          <w:szCs w:val="28"/>
        </w:rPr>
        <w:t>、</w:t>
      </w:r>
      <w:r>
        <w:rPr>
          <w:rFonts w:ascii="仿宋" w:hAnsi="仿宋" w:eastAsia="仿宋" w:cs="宋体"/>
          <w:kern w:val="0"/>
          <w:sz w:val="28"/>
          <w:szCs w:val="28"/>
        </w:rPr>
        <w:t>本合同的变更须经双方协商，并签署补充协议方为有效</w:t>
      </w:r>
      <w:r>
        <w:rPr>
          <w:rFonts w:hint="eastAsia" w:ascii="仿宋" w:hAnsi="仿宋" w:eastAsia="仿宋" w:cs="宋体"/>
          <w:kern w:val="0"/>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ascii="仿宋" w:hAnsi="仿宋" w:eastAsia="仿宋" w:cs="宋体"/>
          <w:kern w:val="0"/>
          <w:sz w:val="28"/>
          <w:szCs w:val="28"/>
        </w:rPr>
        <w:t>9</w:t>
      </w:r>
      <w:r>
        <w:rPr>
          <w:rFonts w:hint="eastAsia" w:ascii="仿宋" w:hAnsi="仿宋" w:eastAsia="仿宋" w:cs="宋体"/>
          <w:kern w:val="0"/>
          <w:sz w:val="28"/>
          <w:szCs w:val="28"/>
        </w:rPr>
        <w:t>、</w:t>
      </w:r>
      <w:r>
        <w:rPr>
          <w:rFonts w:ascii="仿宋" w:hAnsi="仿宋" w:eastAsia="仿宋" w:cs="宋体"/>
          <w:kern w:val="0"/>
          <w:sz w:val="28"/>
          <w:szCs w:val="28"/>
        </w:rPr>
        <w:t xml:space="preserve">本合同期限届满终止。 </w:t>
      </w:r>
    </w:p>
    <w:p>
      <w:pPr>
        <w:outlineLvl w:val="0"/>
        <w:rPr>
          <w:rFonts w:ascii="仿宋" w:hAnsi="仿宋" w:eastAsia="仿宋"/>
          <w:b/>
          <w:sz w:val="28"/>
          <w:szCs w:val="28"/>
        </w:rPr>
      </w:pPr>
      <w:r>
        <w:rPr>
          <w:rFonts w:hint="eastAsia" w:ascii="仿宋" w:hAnsi="仿宋" w:eastAsia="仿宋"/>
          <w:b/>
          <w:sz w:val="28"/>
          <w:szCs w:val="28"/>
        </w:rPr>
        <w:t>八、争议解决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1、合同未尽事宜，按照《民法典》及中华人民共和国相关法律法规执行。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2．有关本合同产生的任何争议，双方应当协商解决，协商不成时，任何一方有权向甲方所在地的人民法院提起诉讼。</w:t>
      </w:r>
    </w:p>
    <w:p>
      <w:pPr>
        <w:outlineLvl w:val="0"/>
        <w:rPr>
          <w:rFonts w:ascii="仿宋" w:hAnsi="仿宋" w:eastAsia="仿宋"/>
          <w:b/>
          <w:sz w:val="28"/>
          <w:szCs w:val="28"/>
        </w:rPr>
      </w:pPr>
      <w:r>
        <w:rPr>
          <w:rFonts w:hint="eastAsia" w:ascii="仿宋" w:hAnsi="仿宋" w:eastAsia="仿宋"/>
          <w:b/>
          <w:sz w:val="28"/>
          <w:szCs w:val="28"/>
        </w:rPr>
        <w:t>九、合同的生效、变更和其它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1、发生不可抗力情形，致使本合同的履行成为不必要或不可能的，可以解除本合同。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2、本合同在双方的责任、义务履行完毕后终止。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3、本合同如有任何修改或补充，均应在双方协商一致的基础上由双方授权代表签署补充协议，并视作本合同不可分割的组成部分。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与本合同有关的协议条款及附件，与本合同具有同等法律效力。</w:t>
      </w:r>
      <w:r>
        <w:rPr>
          <w:rFonts w:ascii="Calibri" w:hAnsi="Calibri" w:eastAsia="仿宋" w:cs="Calibri"/>
          <w:kern w:val="0"/>
          <w:sz w:val="28"/>
          <w:szCs w:val="28"/>
        </w:rPr>
        <w:t> </w:t>
      </w:r>
      <w:r>
        <w:rPr>
          <w:rFonts w:ascii="仿宋" w:hAnsi="仿宋" w:eastAsia="仿宋" w:cs="宋体"/>
          <w:kern w:val="0"/>
          <w:sz w:val="28"/>
          <w:szCs w:val="28"/>
        </w:rPr>
        <w:t>本合同</w:t>
      </w:r>
      <w:r>
        <w:rPr>
          <w:rFonts w:hint="eastAsia" w:ascii="仿宋" w:hAnsi="仿宋" w:eastAsia="仿宋"/>
          <w:sz w:val="28"/>
          <w:szCs w:val="30"/>
        </w:rPr>
        <w:t>自双方法定代表人或委托代理人签字并加盖公章之日起生效。</w:t>
      </w:r>
    </w:p>
    <w:p>
      <w:pPr>
        <w:ind w:firstLine="560"/>
        <w:rPr>
          <w:rFonts w:ascii="仿宋" w:hAnsi="仿宋" w:eastAsia="仿宋"/>
          <w:sz w:val="28"/>
          <w:szCs w:val="30"/>
        </w:rPr>
      </w:pPr>
      <w:r>
        <w:rPr>
          <w:rFonts w:hint="eastAsia" w:ascii="仿宋" w:hAnsi="仿宋" w:eastAsia="仿宋" w:cs="宋体"/>
          <w:kern w:val="0"/>
          <w:sz w:val="28"/>
          <w:szCs w:val="28"/>
        </w:rPr>
        <w:t>5、</w:t>
      </w:r>
      <w:r>
        <w:rPr>
          <w:rFonts w:ascii="仿宋" w:hAnsi="仿宋" w:eastAsia="仿宋" w:cs="宋体"/>
          <w:kern w:val="0"/>
          <w:sz w:val="28"/>
          <w:szCs w:val="28"/>
        </w:rPr>
        <w:t>本合同正本连同附件，</w:t>
      </w:r>
      <w:r>
        <w:rPr>
          <w:rFonts w:hint="eastAsia" w:ascii="仿宋" w:hAnsi="仿宋" w:eastAsia="仿宋"/>
          <w:sz w:val="28"/>
          <w:szCs w:val="30"/>
        </w:rPr>
        <w:t>一式肆份，甲方执贰份，乙方执贰份，具有同等法律效力。</w:t>
      </w:r>
    </w:p>
    <w:p>
      <w:pPr>
        <w:widowControl/>
        <w:tabs>
          <w:tab w:val="left" w:pos="916"/>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8"/>
          <w:szCs w:val="28"/>
        </w:rPr>
      </w:pPr>
    </w:p>
    <w:p>
      <w:pPr>
        <w:tabs>
          <w:tab w:val="left" w:pos="5145"/>
          <w:tab w:val="left" w:pos="5460"/>
        </w:tabs>
        <w:rPr>
          <w:rFonts w:ascii="仿宋" w:hAnsi="仿宋" w:eastAsia="仿宋"/>
          <w:b/>
          <w:sz w:val="28"/>
          <w:szCs w:val="28"/>
        </w:rPr>
      </w:pPr>
      <w:r>
        <w:rPr>
          <w:rFonts w:hint="eastAsia" w:ascii="仿宋" w:hAnsi="仿宋" w:eastAsia="仿宋"/>
          <w:b/>
          <w:sz w:val="28"/>
          <w:szCs w:val="28"/>
        </w:rPr>
        <w:t>甲方：重庆国际投资咨询集团有限公司</w:t>
      </w:r>
      <w:r>
        <w:rPr>
          <w:rFonts w:ascii="仿宋" w:hAnsi="仿宋" w:eastAsia="仿宋"/>
          <w:b/>
          <w:sz w:val="28"/>
          <w:szCs w:val="28"/>
        </w:rPr>
        <w:t xml:space="preserve">     </w:t>
      </w:r>
      <w:r>
        <w:rPr>
          <w:rFonts w:hint="eastAsia" w:ascii="仿宋" w:hAnsi="仿宋" w:eastAsia="仿宋"/>
          <w:b/>
          <w:sz w:val="28"/>
          <w:szCs w:val="28"/>
        </w:rPr>
        <w:t>乙方：</w:t>
      </w:r>
    </w:p>
    <w:p>
      <w:pPr>
        <w:rPr>
          <w:rFonts w:ascii="仿宋" w:hAnsi="仿宋" w:eastAsia="仿宋"/>
          <w:b/>
          <w:sz w:val="28"/>
          <w:szCs w:val="28"/>
        </w:rPr>
      </w:pPr>
      <w:r>
        <w:rPr>
          <w:rFonts w:hint="eastAsia" w:ascii="仿宋" w:hAnsi="仿宋" w:eastAsia="仿宋"/>
          <w:b/>
          <w:sz w:val="28"/>
          <w:szCs w:val="28"/>
        </w:rPr>
        <w:t xml:space="preserve">委托代理人：                      </w:t>
      </w:r>
      <w:r>
        <w:rPr>
          <w:rFonts w:ascii="仿宋" w:hAnsi="仿宋" w:eastAsia="仿宋"/>
          <w:b/>
          <w:sz w:val="28"/>
          <w:szCs w:val="28"/>
        </w:rPr>
        <w:t xml:space="preserve">     </w:t>
      </w:r>
      <w:r>
        <w:rPr>
          <w:rFonts w:hint="eastAsia" w:ascii="仿宋" w:hAnsi="仿宋" w:eastAsia="仿宋"/>
          <w:b/>
          <w:sz w:val="28"/>
          <w:szCs w:val="28"/>
        </w:rPr>
        <w:t xml:space="preserve">委托代理人： </w:t>
      </w:r>
    </w:p>
    <w:p>
      <w:pPr>
        <w:rPr>
          <w:rFonts w:ascii="仿宋" w:hAnsi="仿宋" w:eastAsia="仿宋" w:cs="宋体"/>
          <w:kern w:val="0"/>
          <w:sz w:val="28"/>
          <w:szCs w:val="28"/>
        </w:rPr>
      </w:pPr>
      <w:r>
        <w:rPr>
          <w:rFonts w:hint="eastAsia" w:ascii="仿宋" w:hAnsi="仿宋" w:eastAsia="仿宋"/>
          <w:b/>
          <w:sz w:val="28"/>
          <w:szCs w:val="28"/>
        </w:rPr>
        <w:t xml:space="preserve">日  期：          </w:t>
      </w:r>
      <w:r>
        <w:rPr>
          <w:rFonts w:ascii="仿宋" w:hAnsi="仿宋" w:eastAsia="仿宋"/>
          <w:b/>
          <w:sz w:val="28"/>
          <w:szCs w:val="28"/>
        </w:rPr>
        <w:t xml:space="preserve">              </w:t>
      </w: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b/>
          <w:sz w:val="28"/>
          <w:szCs w:val="28"/>
        </w:rPr>
        <w:t>日  期：</w:t>
      </w:r>
    </w:p>
    <w:p>
      <w:pPr>
        <w:spacing w:line="360" w:lineRule="auto"/>
        <w:ind w:firstLine="1040"/>
        <w:jc w:val="center"/>
        <w:rPr>
          <w:rFonts w:ascii="黑体" w:hAnsi="宋体" w:eastAsia="黑体"/>
          <w:sz w:val="52"/>
          <w:szCs w:val="52"/>
        </w:rPr>
      </w:pPr>
    </w:p>
    <w:p>
      <w:r>
        <w:rPr>
          <w:rFonts w:hint="eastAsia" w:ascii="宋体" w:hAnsi="宋体"/>
          <w:b/>
        </w:rPr>
        <w:t xml:space="preserve">                                                                                                         </w:t>
      </w:r>
    </w:p>
    <w:sectPr>
      <w:headerReference r:id="rId5" w:type="default"/>
      <w:footerReference r:id="rId6" w:type="default"/>
      <w:pgSz w:w="11906" w:h="16838"/>
      <w:pgMar w:top="1440" w:right="991" w:bottom="1440" w:left="1134" w:header="851" w:footer="992" w:gutter="0"/>
      <w:pgNumType w:start="3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rFonts w:ascii="方正仿宋_GBK" w:eastAsia="方正仿宋_GBK" w:cs="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5BFC4"/>
    <w:multiLevelType w:val="singleLevel"/>
    <w:tmpl w:val="D745BFC4"/>
    <w:lvl w:ilvl="0" w:tentative="0">
      <w:start w:val="1"/>
      <w:numFmt w:val="chineseCounting"/>
      <w:suff w:val="space"/>
      <w:lvlText w:val="第%1部分"/>
      <w:lvlJc w:val="left"/>
      <w:rPr>
        <w:rFonts w:hint="eastAsia"/>
      </w:rPr>
    </w:lvl>
  </w:abstractNum>
  <w:abstractNum w:abstractNumId="1">
    <w:nsid w:val="1A606CAD"/>
    <w:multiLevelType w:val="singleLevel"/>
    <w:tmpl w:val="1A606CAD"/>
    <w:lvl w:ilvl="0" w:tentative="0">
      <w:start w:val="8"/>
      <w:numFmt w:val="chineseCounting"/>
      <w:suff w:val="nothing"/>
      <w:lvlText w:val="%1、"/>
      <w:lvlJc w:val="left"/>
      <w:rPr>
        <w:rFonts w:hint="eastAsia"/>
      </w:rPr>
    </w:lvl>
  </w:abstractNum>
  <w:abstractNum w:abstractNumId="2">
    <w:nsid w:val="334B2943"/>
    <w:multiLevelType w:val="singleLevel"/>
    <w:tmpl w:val="334B2943"/>
    <w:lvl w:ilvl="0" w:tentative="0">
      <w:start w:val="1"/>
      <w:numFmt w:val="decimal"/>
      <w:suff w:val="nothing"/>
      <w:lvlText w:val="%1、"/>
      <w:lvlJc w:val="left"/>
    </w:lvl>
  </w:abstractNum>
  <w:abstractNum w:abstractNumId="3">
    <w:nsid w:val="52BF2833"/>
    <w:multiLevelType w:val="multilevel"/>
    <w:tmpl w:val="52BF2833"/>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FCF6285"/>
    <w:multiLevelType w:val="multilevel"/>
    <w:tmpl w:val="5FCF6285"/>
    <w:lvl w:ilvl="0" w:tentative="0">
      <w:start w:val="1"/>
      <w:numFmt w:val="chineseCountingThousand"/>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GIzYzMzYTVlMWMwMTU3ZGUxMjY0MzA0MzdiYjAifQ=="/>
  </w:docVars>
  <w:rsids>
    <w:rsidRoot w:val="71100B0B"/>
    <w:rsid w:val="00004CCF"/>
    <w:rsid w:val="000278FE"/>
    <w:rsid w:val="00092B14"/>
    <w:rsid w:val="000A0A7E"/>
    <w:rsid w:val="000A141D"/>
    <w:rsid w:val="000A5B2E"/>
    <w:rsid w:val="000B3C46"/>
    <w:rsid w:val="000E03C1"/>
    <w:rsid w:val="000F1F5A"/>
    <w:rsid w:val="000F69B8"/>
    <w:rsid w:val="000F74D1"/>
    <w:rsid w:val="00136608"/>
    <w:rsid w:val="00144170"/>
    <w:rsid w:val="00146440"/>
    <w:rsid w:val="0015710A"/>
    <w:rsid w:val="00175A1E"/>
    <w:rsid w:val="00181F7E"/>
    <w:rsid w:val="001837F1"/>
    <w:rsid w:val="001865DF"/>
    <w:rsid w:val="00195B6F"/>
    <w:rsid w:val="001960B2"/>
    <w:rsid w:val="001A14BA"/>
    <w:rsid w:val="001C4190"/>
    <w:rsid w:val="001D7140"/>
    <w:rsid w:val="001E1DC4"/>
    <w:rsid w:val="001E39D2"/>
    <w:rsid w:val="0020156B"/>
    <w:rsid w:val="0022167C"/>
    <w:rsid w:val="00233855"/>
    <w:rsid w:val="0024448E"/>
    <w:rsid w:val="002507C2"/>
    <w:rsid w:val="00252551"/>
    <w:rsid w:val="002574DC"/>
    <w:rsid w:val="0026795D"/>
    <w:rsid w:val="00277A9A"/>
    <w:rsid w:val="00295BB8"/>
    <w:rsid w:val="00296784"/>
    <w:rsid w:val="002A29A2"/>
    <w:rsid w:val="002B76C7"/>
    <w:rsid w:val="002C34C2"/>
    <w:rsid w:val="002D4D14"/>
    <w:rsid w:val="002D601E"/>
    <w:rsid w:val="002E4427"/>
    <w:rsid w:val="002F665E"/>
    <w:rsid w:val="002F7E88"/>
    <w:rsid w:val="0032152B"/>
    <w:rsid w:val="003225FA"/>
    <w:rsid w:val="00326BF0"/>
    <w:rsid w:val="0033421D"/>
    <w:rsid w:val="0034286D"/>
    <w:rsid w:val="00362505"/>
    <w:rsid w:val="003660E8"/>
    <w:rsid w:val="00372A4B"/>
    <w:rsid w:val="00386E6B"/>
    <w:rsid w:val="003940DE"/>
    <w:rsid w:val="003A40DA"/>
    <w:rsid w:val="003E1B7A"/>
    <w:rsid w:val="003E51BA"/>
    <w:rsid w:val="003F1BAF"/>
    <w:rsid w:val="003F4323"/>
    <w:rsid w:val="00415DB0"/>
    <w:rsid w:val="00417B71"/>
    <w:rsid w:val="004340BF"/>
    <w:rsid w:val="00437DEF"/>
    <w:rsid w:val="00437EE9"/>
    <w:rsid w:val="004A3180"/>
    <w:rsid w:val="004B2CE7"/>
    <w:rsid w:val="004E6295"/>
    <w:rsid w:val="004F0CC1"/>
    <w:rsid w:val="004F4A22"/>
    <w:rsid w:val="00502272"/>
    <w:rsid w:val="0050759E"/>
    <w:rsid w:val="00515DFE"/>
    <w:rsid w:val="005260E5"/>
    <w:rsid w:val="00543BE4"/>
    <w:rsid w:val="00573226"/>
    <w:rsid w:val="005805CF"/>
    <w:rsid w:val="00582A43"/>
    <w:rsid w:val="00586DB8"/>
    <w:rsid w:val="00595CD2"/>
    <w:rsid w:val="005966C8"/>
    <w:rsid w:val="005B2572"/>
    <w:rsid w:val="005B5868"/>
    <w:rsid w:val="005C3F9B"/>
    <w:rsid w:val="005C4015"/>
    <w:rsid w:val="005D17D7"/>
    <w:rsid w:val="005E7DDC"/>
    <w:rsid w:val="005E7F51"/>
    <w:rsid w:val="00610AA4"/>
    <w:rsid w:val="0061359F"/>
    <w:rsid w:val="00614F6E"/>
    <w:rsid w:val="006211AE"/>
    <w:rsid w:val="0062629A"/>
    <w:rsid w:val="00634916"/>
    <w:rsid w:val="006475FB"/>
    <w:rsid w:val="00650994"/>
    <w:rsid w:val="00684655"/>
    <w:rsid w:val="006A1747"/>
    <w:rsid w:val="006B4D01"/>
    <w:rsid w:val="006B4DA4"/>
    <w:rsid w:val="006C2C92"/>
    <w:rsid w:val="006C48F4"/>
    <w:rsid w:val="006D3220"/>
    <w:rsid w:val="006E47FB"/>
    <w:rsid w:val="006E763D"/>
    <w:rsid w:val="00704F92"/>
    <w:rsid w:val="00744E93"/>
    <w:rsid w:val="007457C0"/>
    <w:rsid w:val="007575D7"/>
    <w:rsid w:val="00774829"/>
    <w:rsid w:val="00786B63"/>
    <w:rsid w:val="0079315C"/>
    <w:rsid w:val="007A52CD"/>
    <w:rsid w:val="007C643D"/>
    <w:rsid w:val="008018D0"/>
    <w:rsid w:val="00833B21"/>
    <w:rsid w:val="00836791"/>
    <w:rsid w:val="008373AA"/>
    <w:rsid w:val="008377B6"/>
    <w:rsid w:val="0086016D"/>
    <w:rsid w:val="00870524"/>
    <w:rsid w:val="00870FDD"/>
    <w:rsid w:val="00873FE7"/>
    <w:rsid w:val="00884C2D"/>
    <w:rsid w:val="0088617E"/>
    <w:rsid w:val="008C1283"/>
    <w:rsid w:val="008D7D40"/>
    <w:rsid w:val="008E2A1A"/>
    <w:rsid w:val="008E5940"/>
    <w:rsid w:val="009079EC"/>
    <w:rsid w:val="00912644"/>
    <w:rsid w:val="009163D7"/>
    <w:rsid w:val="00921FCE"/>
    <w:rsid w:val="00924422"/>
    <w:rsid w:val="00932120"/>
    <w:rsid w:val="0094125A"/>
    <w:rsid w:val="009424AE"/>
    <w:rsid w:val="009572A6"/>
    <w:rsid w:val="009905E7"/>
    <w:rsid w:val="00992C9E"/>
    <w:rsid w:val="009A3ED4"/>
    <w:rsid w:val="009B40AA"/>
    <w:rsid w:val="009E0EE3"/>
    <w:rsid w:val="009E63E4"/>
    <w:rsid w:val="009F0B74"/>
    <w:rsid w:val="009F6642"/>
    <w:rsid w:val="009F6FBC"/>
    <w:rsid w:val="00A00D09"/>
    <w:rsid w:val="00A0775A"/>
    <w:rsid w:val="00A200C8"/>
    <w:rsid w:val="00A24B53"/>
    <w:rsid w:val="00A25302"/>
    <w:rsid w:val="00A3206D"/>
    <w:rsid w:val="00A43430"/>
    <w:rsid w:val="00A45592"/>
    <w:rsid w:val="00A4636D"/>
    <w:rsid w:val="00A57860"/>
    <w:rsid w:val="00A703C6"/>
    <w:rsid w:val="00A71ED7"/>
    <w:rsid w:val="00A74B58"/>
    <w:rsid w:val="00A81CF7"/>
    <w:rsid w:val="00A826FF"/>
    <w:rsid w:val="00A82DE7"/>
    <w:rsid w:val="00A925F4"/>
    <w:rsid w:val="00AA0AD2"/>
    <w:rsid w:val="00AA2C3E"/>
    <w:rsid w:val="00AB6058"/>
    <w:rsid w:val="00AC7934"/>
    <w:rsid w:val="00AE74BB"/>
    <w:rsid w:val="00AF224A"/>
    <w:rsid w:val="00B11C97"/>
    <w:rsid w:val="00B11D9F"/>
    <w:rsid w:val="00B21DB0"/>
    <w:rsid w:val="00B25EF3"/>
    <w:rsid w:val="00B57DDF"/>
    <w:rsid w:val="00B7044B"/>
    <w:rsid w:val="00B7587B"/>
    <w:rsid w:val="00B8291B"/>
    <w:rsid w:val="00B870DA"/>
    <w:rsid w:val="00BB04AB"/>
    <w:rsid w:val="00BB776B"/>
    <w:rsid w:val="00BB7CE6"/>
    <w:rsid w:val="00BC1E1D"/>
    <w:rsid w:val="00BC3948"/>
    <w:rsid w:val="00BD2037"/>
    <w:rsid w:val="00BE5C0F"/>
    <w:rsid w:val="00BF2744"/>
    <w:rsid w:val="00BF2936"/>
    <w:rsid w:val="00C03088"/>
    <w:rsid w:val="00C12CC0"/>
    <w:rsid w:val="00C443E3"/>
    <w:rsid w:val="00C53778"/>
    <w:rsid w:val="00C6445D"/>
    <w:rsid w:val="00C65A82"/>
    <w:rsid w:val="00C7121F"/>
    <w:rsid w:val="00C738B4"/>
    <w:rsid w:val="00C92A43"/>
    <w:rsid w:val="00CC5EAA"/>
    <w:rsid w:val="00CD1EC6"/>
    <w:rsid w:val="00CE0525"/>
    <w:rsid w:val="00CE0FAE"/>
    <w:rsid w:val="00CE2881"/>
    <w:rsid w:val="00D21D0A"/>
    <w:rsid w:val="00D46356"/>
    <w:rsid w:val="00D63158"/>
    <w:rsid w:val="00D675E1"/>
    <w:rsid w:val="00D70E88"/>
    <w:rsid w:val="00D71FB2"/>
    <w:rsid w:val="00D7765B"/>
    <w:rsid w:val="00D8006D"/>
    <w:rsid w:val="00D81D9D"/>
    <w:rsid w:val="00D9155D"/>
    <w:rsid w:val="00DB2AC0"/>
    <w:rsid w:val="00DC1E92"/>
    <w:rsid w:val="00DD1DC6"/>
    <w:rsid w:val="00DD5647"/>
    <w:rsid w:val="00DE770C"/>
    <w:rsid w:val="00E11F15"/>
    <w:rsid w:val="00E30E93"/>
    <w:rsid w:val="00E3185C"/>
    <w:rsid w:val="00E350EC"/>
    <w:rsid w:val="00E51E78"/>
    <w:rsid w:val="00E8329D"/>
    <w:rsid w:val="00EC05F9"/>
    <w:rsid w:val="00ED1B34"/>
    <w:rsid w:val="00ED744B"/>
    <w:rsid w:val="00EF344C"/>
    <w:rsid w:val="00F02930"/>
    <w:rsid w:val="00F042B5"/>
    <w:rsid w:val="00F04DEC"/>
    <w:rsid w:val="00F063F1"/>
    <w:rsid w:val="00F079B9"/>
    <w:rsid w:val="00F14A78"/>
    <w:rsid w:val="00F25E41"/>
    <w:rsid w:val="00F642B1"/>
    <w:rsid w:val="00F6732D"/>
    <w:rsid w:val="00F857FC"/>
    <w:rsid w:val="00F86536"/>
    <w:rsid w:val="00F86A77"/>
    <w:rsid w:val="00F9562F"/>
    <w:rsid w:val="00FB687F"/>
    <w:rsid w:val="00FC168D"/>
    <w:rsid w:val="012A6F94"/>
    <w:rsid w:val="046406BD"/>
    <w:rsid w:val="04EE36C6"/>
    <w:rsid w:val="04FA28E3"/>
    <w:rsid w:val="05014120"/>
    <w:rsid w:val="050E7090"/>
    <w:rsid w:val="058922E0"/>
    <w:rsid w:val="06164201"/>
    <w:rsid w:val="06C12B60"/>
    <w:rsid w:val="07785760"/>
    <w:rsid w:val="088210E3"/>
    <w:rsid w:val="088D63C2"/>
    <w:rsid w:val="08D57A2A"/>
    <w:rsid w:val="094A0C63"/>
    <w:rsid w:val="09561AEF"/>
    <w:rsid w:val="09B214F2"/>
    <w:rsid w:val="09B75260"/>
    <w:rsid w:val="09F568AC"/>
    <w:rsid w:val="0A1C3C96"/>
    <w:rsid w:val="0A5A4C96"/>
    <w:rsid w:val="0A7F062C"/>
    <w:rsid w:val="0ACC55E1"/>
    <w:rsid w:val="0C1F79B0"/>
    <w:rsid w:val="0D661447"/>
    <w:rsid w:val="0DCD1019"/>
    <w:rsid w:val="0EDB19CC"/>
    <w:rsid w:val="0F370B05"/>
    <w:rsid w:val="0F3952E9"/>
    <w:rsid w:val="0F730180"/>
    <w:rsid w:val="102D5E8E"/>
    <w:rsid w:val="104B066F"/>
    <w:rsid w:val="10B77A8D"/>
    <w:rsid w:val="11125D02"/>
    <w:rsid w:val="11A5302E"/>
    <w:rsid w:val="1207443F"/>
    <w:rsid w:val="121D322F"/>
    <w:rsid w:val="1279195B"/>
    <w:rsid w:val="12B66520"/>
    <w:rsid w:val="15770141"/>
    <w:rsid w:val="15907ABA"/>
    <w:rsid w:val="164567EC"/>
    <w:rsid w:val="16D71EDB"/>
    <w:rsid w:val="176D064A"/>
    <w:rsid w:val="17C6418D"/>
    <w:rsid w:val="17E466CC"/>
    <w:rsid w:val="182D493B"/>
    <w:rsid w:val="184C396E"/>
    <w:rsid w:val="1A7B1F72"/>
    <w:rsid w:val="1A7F4343"/>
    <w:rsid w:val="1AD5150D"/>
    <w:rsid w:val="1B251FF4"/>
    <w:rsid w:val="1B803130"/>
    <w:rsid w:val="1C1158C6"/>
    <w:rsid w:val="1C534DE0"/>
    <w:rsid w:val="1DED36A7"/>
    <w:rsid w:val="1E884DA9"/>
    <w:rsid w:val="1EC76CE7"/>
    <w:rsid w:val="1F376176"/>
    <w:rsid w:val="1FBC30AE"/>
    <w:rsid w:val="21C621F0"/>
    <w:rsid w:val="22AD4841"/>
    <w:rsid w:val="22B44A85"/>
    <w:rsid w:val="22EB6579"/>
    <w:rsid w:val="23902DE5"/>
    <w:rsid w:val="23957254"/>
    <w:rsid w:val="23DE4815"/>
    <w:rsid w:val="24055A18"/>
    <w:rsid w:val="25484AD6"/>
    <w:rsid w:val="25B4719C"/>
    <w:rsid w:val="26343165"/>
    <w:rsid w:val="27A03607"/>
    <w:rsid w:val="280B5577"/>
    <w:rsid w:val="284E528B"/>
    <w:rsid w:val="28577130"/>
    <w:rsid w:val="29C20CB7"/>
    <w:rsid w:val="2ABA66E2"/>
    <w:rsid w:val="2BCF0B6A"/>
    <w:rsid w:val="2D8C2BCE"/>
    <w:rsid w:val="2DA32E56"/>
    <w:rsid w:val="2DA729BC"/>
    <w:rsid w:val="2DEA65C2"/>
    <w:rsid w:val="2F3F6949"/>
    <w:rsid w:val="31C8770C"/>
    <w:rsid w:val="31E03171"/>
    <w:rsid w:val="31F03C25"/>
    <w:rsid w:val="330B0E2E"/>
    <w:rsid w:val="336D3922"/>
    <w:rsid w:val="33C7178B"/>
    <w:rsid w:val="341D290A"/>
    <w:rsid w:val="34450A23"/>
    <w:rsid w:val="34953C36"/>
    <w:rsid w:val="34A51617"/>
    <w:rsid w:val="34D72F2E"/>
    <w:rsid w:val="34EB5AAA"/>
    <w:rsid w:val="34F915EA"/>
    <w:rsid w:val="362B5B73"/>
    <w:rsid w:val="368921BF"/>
    <w:rsid w:val="370D7F1A"/>
    <w:rsid w:val="37B3604B"/>
    <w:rsid w:val="388F774F"/>
    <w:rsid w:val="38AA5930"/>
    <w:rsid w:val="392C67D2"/>
    <w:rsid w:val="395A59C0"/>
    <w:rsid w:val="396E2B93"/>
    <w:rsid w:val="39AC730D"/>
    <w:rsid w:val="39E430C3"/>
    <w:rsid w:val="3A235CFD"/>
    <w:rsid w:val="3A833EA9"/>
    <w:rsid w:val="3AE66A31"/>
    <w:rsid w:val="3B021931"/>
    <w:rsid w:val="3B62094D"/>
    <w:rsid w:val="3BC136BC"/>
    <w:rsid w:val="3BFE7A30"/>
    <w:rsid w:val="3C18233B"/>
    <w:rsid w:val="3C292AD9"/>
    <w:rsid w:val="3C822CFA"/>
    <w:rsid w:val="3CB01F2D"/>
    <w:rsid w:val="3CFE5DA8"/>
    <w:rsid w:val="3D747C3E"/>
    <w:rsid w:val="3EF94F1B"/>
    <w:rsid w:val="3F643F42"/>
    <w:rsid w:val="40D53322"/>
    <w:rsid w:val="4176473F"/>
    <w:rsid w:val="42AC3521"/>
    <w:rsid w:val="43187D6D"/>
    <w:rsid w:val="43BC5C20"/>
    <w:rsid w:val="44A655A0"/>
    <w:rsid w:val="44CC65D0"/>
    <w:rsid w:val="457F1EF2"/>
    <w:rsid w:val="4713141D"/>
    <w:rsid w:val="47205504"/>
    <w:rsid w:val="476D4662"/>
    <w:rsid w:val="477D5225"/>
    <w:rsid w:val="47F30BE5"/>
    <w:rsid w:val="4871131E"/>
    <w:rsid w:val="487601B6"/>
    <w:rsid w:val="48E561A4"/>
    <w:rsid w:val="49433804"/>
    <w:rsid w:val="4BEC00E2"/>
    <w:rsid w:val="4C451C3C"/>
    <w:rsid w:val="4CD43D45"/>
    <w:rsid w:val="4D195BA0"/>
    <w:rsid w:val="4D4815C2"/>
    <w:rsid w:val="4D657338"/>
    <w:rsid w:val="4E0338CF"/>
    <w:rsid w:val="4E6E59F1"/>
    <w:rsid w:val="4F7466D6"/>
    <w:rsid w:val="4FFD70F6"/>
    <w:rsid w:val="50BB1C63"/>
    <w:rsid w:val="50E3191F"/>
    <w:rsid w:val="51331C92"/>
    <w:rsid w:val="52525E98"/>
    <w:rsid w:val="534B171A"/>
    <w:rsid w:val="537A4347"/>
    <w:rsid w:val="543534D1"/>
    <w:rsid w:val="543C76F0"/>
    <w:rsid w:val="55834285"/>
    <w:rsid w:val="561A0231"/>
    <w:rsid w:val="5750309F"/>
    <w:rsid w:val="57BC12E3"/>
    <w:rsid w:val="58FA39F6"/>
    <w:rsid w:val="59A85CAD"/>
    <w:rsid w:val="5A2C46F1"/>
    <w:rsid w:val="5A982C41"/>
    <w:rsid w:val="5ABD593E"/>
    <w:rsid w:val="5B1F375F"/>
    <w:rsid w:val="5C4C26DD"/>
    <w:rsid w:val="5D63451C"/>
    <w:rsid w:val="5D965750"/>
    <w:rsid w:val="5DB21FF4"/>
    <w:rsid w:val="5E2330CF"/>
    <w:rsid w:val="5EEB4C16"/>
    <w:rsid w:val="5F286671"/>
    <w:rsid w:val="601E266E"/>
    <w:rsid w:val="60E45647"/>
    <w:rsid w:val="61751C80"/>
    <w:rsid w:val="62FE6A07"/>
    <w:rsid w:val="63050BB9"/>
    <w:rsid w:val="63696A2E"/>
    <w:rsid w:val="63B873EE"/>
    <w:rsid w:val="64072EA8"/>
    <w:rsid w:val="64535467"/>
    <w:rsid w:val="646A423F"/>
    <w:rsid w:val="64F535CA"/>
    <w:rsid w:val="650D10C7"/>
    <w:rsid w:val="659D04F7"/>
    <w:rsid w:val="66516764"/>
    <w:rsid w:val="685663DB"/>
    <w:rsid w:val="68A200EB"/>
    <w:rsid w:val="68D22E0A"/>
    <w:rsid w:val="68DD59E6"/>
    <w:rsid w:val="68ED2FAF"/>
    <w:rsid w:val="694412BF"/>
    <w:rsid w:val="6A2A6ABF"/>
    <w:rsid w:val="6BDC33EC"/>
    <w:rsid w:val="6C26230F"/>
    <w:rsid w:val="6C2D7F56"/>
    <w:rsid w:val="6D0B6E51"/>
    <w:rsid w:val="6D1E1611"/>
    <w:rsid w:val="6DBF92C6"/>
    <w:rsid w:val="6E302C0E"/>
    <w:rsid w:val="6E491C9E"/>
    <w:rsid w:val="6F582C0D"/>
    <w:rsid w:val="6F8A55DB"/>
    <w:rsid w:val="6F9C69ED"/>
    <w:rsid w:val="6FE868F7"/>
    <w:rsid w:val="6FFF2618"/>
    <w:rsid w:val="700165E7"/>
    <w:rsid w:val="7013414A"/>
    <w:rsid w:val="707E792B"/>
    <w:rsid w:val="71100B0B"/>
    <w:rsid w:val="72055C6C"/>
    <w:rsid w:val="7225310B"/>
    <w:rsid w:val="733E7825"/>
    <w:rsid w:val="73DF11EA"/>
    <w:rsid w:val="74215C4D"/>
    <w:rsid w:val="74CE1834"/>
    <w:rsid w:val="75095312"/>
    <w:rsid w:val="766B7B7A"/>
    <w:rsid w:val="785802B2"/>
    <w:rsid w:val="78AE3744"/>
    <w:rsid w:val="791636F4"/>
    <w:rsid w:val="79245DC8"/>
    <w:rsid w:val="793F3716"/>
    <w:rsid w:val="79902CB1"/>
    <w:rsid w:val="79F679A6"/>
    <w:rsid w:val="7A302388"/>
    <w:rsid w:val="7AC27647"/>
    <w:rsid w:val="7BB9446E"/>
    <w:rsid w:val="7C657C92"/>
    <w:rsid w:val="7C750F13"/>
    <w:rsid w:val="7C852788"/>
    <w:rsid w:val="7CC77B1B"/>
    <w:rsid w:val="7D0A7D18"/>
    <w:rsid w:val="7D366B97"/>
    <w:rsid w:val="7DF424B5"/>
    <w:rsid w:val="7E0F55CA"/>
    <w:rsid w:val="7E8A2C3D"/>
    <w:rsid w:val="7EE566FE"/>
    <w:rsid w:val="7EEE59F8"/>
    <w:rsid w:val="7FB7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0" w:semiHidden="0" w:name="Body Text Indent 3" w:locked="1"/>
    <w:lsdException w:uiPriority="99" w:name="Block Text" w:locked="1"/>
    <w:lsdException w:qFormat="1" w:uiPriority="99" w:semiHidden="0" w:name="Hyperlink" w:locked="1"/>
    <w:lsdException w:qFormat="1" w:uiPriority="99" w:semiHidden="0" w:name="FollowedHyperlink" w:locked="1"/>
    <w:lsdException w:qFormat="1" w:unhideWhenUsed="0" w:uiPriority="22"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qFormat="1" w:uiPriority="99" w:name="HTML Preformatted" w:locked="1"/>
    <w:lsdException w:qFormat="1" w:uiPriority="99" w:semiHidden="0" w:name="HTML Sample" w:locked="1"/>
    <w:lsdException w:qFormat="1" w:uiPriority="99" w:semiHidden="0" w:name="HTML Typewriter" w:locked="1"/>
    <w:lsdException w:qFormat="1" w:uiPriority="99" w:semiHidden="0"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3"/>
    <w:qFormat/>
    <w:locked/>
    <w:uiPriority w:val="99"/>
    <w:pPr>
      <w:keepNext/>
      <w:keepLines/>
      <w:spacing w:line="578" w:lineRule="auto"/>
      <w:outlineLvl w:val="0"/>
    </w:pPr>
    <w:rPr>
      <w:b/>
      <w:bCs/>
      <w:kern w:val="44"/>
      <w:sz w:val="44"/>
      <w:szCs w:val="44"/>
    </w:rPr>
  </w:style>
  <w:style w:type="paragraph" w:styleId="5">
    <w:name w:val="heading 2"/>
    <w:basedOn w:val="1"/>
    <w:next w:val="1"/>
    <w:qFormat/>
    <w:uiPriority w:val="9"/>
    <w:pPr>
      <w:autoSpaceDE w:val="0"/>
      <w:autoSpaceDN w:val="0"/>
      <w:adjustRightInd w:val="0"/>
      <w:snapToGrid w:val="0"/>
      <w:spacing w:beforeLines="50" w:afterLines="50" w:line="440" w:lineRule="exact"/>
      <w:jc w:val="left"/>
      <w:outlineLvl w:val="1"/>
    </w:pPr>
    <w:rPr>
      <w:rFonts w:ascii="Arial" w:hAnsi="Arial"/>
      <w:b/>
      <w:sz w:val="32"/>
      <w:szCs w:val="20"/>
    </w:rPr>
  </w:style>
  <w:style w:type="paragraph" w:styleId="6">
    <w:name w:val="heading 3"/>
    <w:basedOn w:val="1"/>
    <w:next w:val="1"/>
    <w:link w:val="44"/>
    <w:qFormat/>
    <w:uiPriority w:val="99"/>
    <w:pPr>
      <w:keepNext/>
      <w:keepLines/>
      <w:spacing w:line="413" w:lineRule="auto"/>
      <w:outlineLvl w:val="2"/>
    </w:pPr>
    <w:rPr>
      <w:b/>
      <w:bCs/>
      <w:sz w:val="32"/>
      <w:szCs w:val="32"/>
    </w:rPr>
  </w:style>
  <w:style w:type="paragraph" w:styleId="7">
    <w:name w:val="heading 4"/>
    <w:basedOn w:val="1"/>
    <w:next w:val="1"/>
    <w:link w:val="45"/>
    <w:qFormat/>
    <w:locked/>
    <w:uiPriority w:val="99"/>
    <w:pPr>
      <w:widowControl/>
      <w:spacing w:beforeAutospacing="1" w:afterAutospacing="1"/>
      <w:jc w:val="left"/>
      <w:outlineLvl w:val="3"/>
    </w:pPr>
    <w:rPr>
      <w:rFonts w:ascii="宋体" w:hAnsi="宋体" w:cs="宋体"/>
      <w:b/>
      <w:bCs/>
      <w:kern w:val="0"/>
      <w:sz w:val="24"/>
      <w:szCs w:val="24"/>
    </w:rPr>
  </w:style>
  <w:style w:type="paragraph" w:styleId="8">
    <w:name w:val="heading 5"/>
    <w:basedOn w:val="1"/>
    <w:next w:val="1"/>
    <w:link w:val="46"/>
    <w:qFormat/>
    <w:locked/>
    <w:uiPriority w:val="99"/>
    <w:pPr>
      <w:widowControl/>
      <w:spacing w:beforeAutospacing="1" w:afterAutospacing="1"/>
      <w:jc w:val="left"/>
      <w:outlineLvl w:val="4"/>
    </w:pPr>
    <w:rPr>
      <w:rFonts w:ascii="宋体" w:hAnsi="宋体" w:cs="宋体"/>
      <w:b/>
      <w:bCs/>
      <w:kern w:val="0"/>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sz w:val="24"/>
    </w:rPr>
  </w:style>
  <w:style w:type="paragraph" w:styleId="3">
    <w:name w:val="Body Text"/>
    <w:basedOn w:val="1"/>
    <w:next w:val="1"/>
    <w:link w:val="47"/>
    <w:qFormat/>
    <w:uiPriority w:val="99"/>
    <w:rPr>
      <w:rFonts w:ascii="宋体" w:hAnsi="宋体" w:cs="宋体"/>
      <w:sz w:val="28"/>
      <w:szCs w:val="28"/>
    </w:rPr>
  </w:style>
  <w:style w:type="paragraph" w:styleId="11">
    <w:name w:val="Balloon Text"/>
    <w:basedOn w:val="1"/>
    <w:link w:val="57"/>
    <w:unhideWhenUsed/>
    <w:qFormat/>
    <w:locked/>
    <w:uiPriority w:val="99"/>
    <w:rPr>
      <w:sz w:val="18"/>
      <w:szCs w:val="18"/>
    </w:rPr>
  </w:style>
  <w:style w:type="paragraph" w:styleId="12">
    <w:name w:val="Body Text Indent"/>
    <w:basedOn w:val="1"/>
    <w:link w:val="48"/>
    <w:qFormat/>
    <w:uiPriority w:val="99"/>
    <w:pPr>
      <w:ind w:firstLine="568" w:firstLineChars="203"/>
    </w:pPr>
    <w:rPr>
      <w:rFonts w:ascii="宋体" w:hAnsi="宋体" w:cs="宋体"/>
      <w:sz w:val="28"/>
      <w:szCs w:val="28"/>
    </w:rPr>
  </w:style>
  <w:style w:type="paragraph" w:styleId="13">
    <w:name w:val="Body Text First Indent 2"/>
    <w:basedOn w:val="12"/>
    <w:qFormat/>
    <w:locked/>
    <w:uiPriority w:val="0"/>
    <w:pPr>
      <w:ind w:firstLine="420" w:firstLineChars="200"/>
    </w:pPr>
  </w:style>
  <w:style w:type="paragraph" w:styleId="14">
    <w:name w:val="Body Text Indent 2"/>
    <w:basedOn w:val="1"/>
    <w:link w:val="49"/>
    <w:qFormat/>
    <w:uiPriority w:val="99"/>
    <w:pPr>
      <w:spacing w:line="480" w:lineRule="auto"/>
      <w:ind w:left="420" w:leftChars="200"/>
    </w:pPr>
  </w:style>
  <w:style w:type="paragraph" w:styleId="15">
    <w:name w:val="Body Text Indent 3"/>
    <w:basedOn w:val="1"/>
    <w:qFormat/>
    <w:locked/>
    <w:uiPriority w:val="0"/>
    <w:pPr>
      <w:spacing w:after="120"/>
      <w:ind w:left="420" w:leftChars="200"/>
    </w:pPr>
    <w:rPr>
      <w:sz w:val="16"/>
    </w:rPr>
  </w:style>
  <w:style w:type="character" w:styleId="16">
    <w:name w:val="annotation reference"/>
    <w:basedOn w:val="9"/>
    <w:semiHidden/>
    <w:qFormat/>
    <w:uiPriority w:val="99"/>
    <w:rPr>
      <w:sz w:val="21"/>
      <w:szCs w:val="21"/>
    </w:rPr>
  </w:style>
  <w:style w:type="paragraph" w:styleId="17">
    <w:name w:val="annotation text"/>
    <w:basedOn w:val="1"/>
    <w:link w:val="58"/>
    <w:unhideWhenUsed/>
    <w:qFormat/>
    <w:locked/>
    <w:uiPriority w:val="99"/>
    <w:pPr>
      <w:jc w:val="left"/>
    </w:pPr>
  </w:style>
  <w:style w:type="paragraph" w:styleId="18">
    <w:name w:val="annotation subject"/>
    <w:basedOn w:val="17"/>
    <w:next w:val="17"/>
    <w:link w:val="59"/>
    <w:unhideWhenUsed/>
    <w:qFormat/>
    <w:locked/>
    <w:uiPriority w:val="99"/>
    <w:rPr>
      <w:b/>
      <w:bCs/>
    </w:rPr>
  </w:style>
  <w:style w:type="character" w:styleId="19">
    <w:name w:val="Emphasis"/>
    <w:basedOn w:val="9"/>
    <w:qFormat/>
    <w:uiPriority w:val="0"/>
    <w:rPr>
      <w:b/>
      <w:bCs/>
    </w:rPr>
  </w:style>
  <w:style w:type="character" w:styleId="20">
    <w:name w:val="FollowedHyperlink"/>
    <w:basedOn w:val="9"/>
    <w:unhideWhenUsed/>
    <w:qFormat/>
    <w:locked/>
    <w:uiPriority w:val="99"/>
    <w:rPr>
      <w:color w:val="800080"/>
      <w:u w:val="none"/>
    </w:rPr>
  </w:style>
  <w:style w:type="paragraph" w:styleId="21">
    <w:name w:val="footer"/>
    <w:basedOn w:val="1"/>
    <w:link w:val="50"/>
    <w:qFormat/>
    <w:uiPriority w:val="99"/>
    <w:pPr>
      <w:tabs>
        <w:tab w:val="center" w:pos="4153"/>
        <w:tab w:val="right" w:pos="8306"/>
      </w:tabs>
      <w:snapToGrid w:val="0"/>
      <w:jc w:val="left"/>
    </w:pPr>
    <w:rPr>
      <w:sz w:val="18"/>
      <w:szCs w:val="18"/>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character" w:styleId="23">
    <w:name w:val="HTML Acronym"/>
    <w:basedOn w:val="9"/>
    <w:unhideWhenUsed/>
    <w:qFormat/>
    <w:locked/>
    <w:uiPriority w:val="99"/>
  </w:style>
  <w:style w:type="character" w:styleId="24">
    <w:name w:val="HTML Cite"/>
    <w:basedOn w:val="9"/>
    <w:unhideWhenUsed/>
    <w:qFormat/>
    <w:locked/>
    <w:uiPriority w:val="99"/>
  </w:style>
  <w:style w:type="character" w:styleId="25">
    <w:name w:val="HTML Code"/>
    <w:basedOn w:val="9"/>
    <w:unhideWhenUsed/>
    <w:qFormat/>
    <w:locked/>
    <w:uiPriority w:val="99"/>
    <w:rPr>
      <w:rFonts w:hint="default" w:ascii="monospace" w:hAnsi="monospace" w:eastAsia="monospace" w:cs="monospace"/>
      <w:sz w:val="20"/>
    </w:rPr>
  </w:style>
  <w:style w:type="character" w:styleId="26">
    <w:name w:val="HTML Definition"/>
    <w:basedOn w:val="9"/>
    <w:unhideWhenUsed/>
    <w:qFormat/>
    <w:locked/>
    <w:uiPriority w:val="99"/>
  </w:style>
  <w:style w:type="character" w:styleId="27">
    <w:name w:val="HTML Keyboard"/>
    <w:basedOn w:val="9"/>
    <w:unhideWhenUsed/>
    <w:qFormat/>
    <w:locked/>
    <w:uiPriority w:val="99"/>
    <w:rPr>
      <w:rFonts w:ascii="monospace" w:hAnsi="monospace" w:eastAsia="monospace" w:cs="monospace"/>
      <w:sz w:val="20"/>
    </w:rPr>
  </w:style>
  <w:style w:type="paragraph" w:styleId="28">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29">
    <w:name w:val="HTML Sample"/>
    <w:basedOn w:val="9"/>
    <w:unhideWhenUsed/>
    <w:qFormat/>
    <w:locked/>
    <w:uiPriority w:val="99"/>
    <w:rPr>
      <w:rFonts w:hint="default" w:ascii="monospace" w:hAnsi="monospace" w:eastAsia="monospace" w:cs="monospace"/>
    </w:rPr>
  </w:style>
  <w:style w:type="character" w:styleId="30">
    <w:name w:val="HTML Typewriter"/>
    <w:basedOn w:val="9"/>
    <w:unhideWhenUsed/>
    <w:qFormat/>
    <w:locked/>
    <w:uiPriority w:val="99"/>
    <w:rPr>
      <w:rFonts w:hint="default" w:ascii="monospace" w:hAnsi="monospace" w:eastAsia="monospace" w:cs="monospace"/>
      <w:sz w:val="20"/>
    </w:rPr>
  </w:style>
  <w:style w:type="character" w:styleId="31">
    <w:name w:val="HTML Variable"/>
    <w:basedOn w:val="9"/>
    <w:unhideWhenUsed/>
    <w:qFormat/>
    <w:locked/>
    <w:uiPriority w:val="99"/>
  </w:style>
  <w:style w:type="character" w:styleId="32">
    <w:name w:val="Hyperlink"/>
    <w:basedOn w:val="9"/>
    <w:unhideWhenUsed/>
    <w:qFormat/>
    <w:locked/>
    <w:uiPriority w:val="99"/>
    <w:rPr>
      <w:color w:val="0000FF"/>
      <w:u w:val="none"/>
    </w:rPr>
  </w:style>
  <w:style w:type="paragraph" w:styleId="33">
    <w:name w:val="Normal (Web)"/>
    <w:basedOn w:val="1"/>
    <w:unhideWhenUsed/>
    <w:qFormat/>
    <w:locked/>
    <w:uiPriority w:val="99"/>
    <w:pPr>
      <w:widowControl/>
      <w:spacing w:before="100" w:beforeAutospacing="1" w:after="100" w:afterAutospacing="1"/>
      <w:jc w:val="left"/>
    </w:pPr>
    <w:rPr>
      <w:rFonts w:ascii="宋体" w:hAnsi="宋体" w:cs="宋体"/>
      <w:kern w:val="0"/>
      <w:sz w:val="24"/>
      <w:szCs w:val="24"/>
    </w:rPr>
  </w:style>
  <w:style w:type="paragraph" w:styleId="34">
    <w:name w:val="Normal Indent"/>
    <w:basedOn w:val="1"/>
    <w:unhideWhenUsed/>
    <w:qFormat/>
    <w:locked/>
    <w:uiPriority w:val="0"/>
    <w:pPr>
      <w:ind w:firstLine="420" w:firstLineChars="200"/>
    </w:pPr>
  </w:style>
  <w:style w:type="character" w:styleId="35">
    <w:name w:val="page number"/>
    <w:basedOn w:val="9"/>
    <w:qFormat/>
    <w:uiPriority w:val="99"/>
  </w:style>
  <w:style w:type="character" w:styleId="36">
    <w:name w:val="Strong"/>
    <w:basedOn w:val="9"/>
    <w:qFormat/>
    <w:uiPriority w:val="22"/>
    <w:rPr>
      <w:b/>
      <w:bCs/>
    </w:rPr>
  </w:style>
  <w:style w:type="table" w:styleId="37">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8">
    <w:name w:val="Title"/>
    <w:basedOn w:val="1"/>
    <w:next w:val="1"/>
    <w:link w:val="52"/>
    <w:qFormat/>
    <w:uiPriority w:val="99"/>
    <w:pPr>
      <w:widowControl/>
      <w:jc w:val="center"/>
    </w:pPr>
    <w:rPr>
      <w:kern w:val="0"/>
      <w:sz w:val="20"/>
      <w:szCs w:val="20"/>
      <w:u w:val="single"/>
      <w:lang w:eastAsia="en-US"/>
    </w:rPr>
  </w:style>
  <w:style w:type="paragraph" w:styleId="39">
    <w:name w:val="toc 1"/>
    <w:basedOn w:val="1"/>
    <w:next w:val="1"/>
    <w:qFormat/>
    <w:uiPriority w:val="39"/>
  </w:style>
  <w:style w:type="paragraph" w:styleId="40">
    <w:name w:val="toc 2"/>
    <w:basedOn w:val="1"/>
    <w:next w:val="1"/>
    <w:qFormat/>
    <w:uiPriority w:val="39"/>
    <w:pPr>
      <w:ind w:left="420" w:leftChars="200"/>
    </w:pPr>
  </w:style>
  <w:style w:type="paragraph" w:customStyle="1" w:styleId="41">
    <w:name w:val="Char Char3"/>
    <w:basedOn w:val="1"/>
    <w:qFormat/>
    <w:uiPriority w:val="0"/>
    <w:pPr>
      <w:widowControl/>
      <w:spacing w:after="160" w:line="240" w:lineRule="exact"/>
      <w:jc w:val="left"/>
    </w:pPr>
  </w:style>
  <w:style w:type="paragraph" w:customStyle="1" w:styleId="4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3">
    <w:name w:val="标题 1 字符"/>
    <w:basedOn w:val="9"/>
    <w:link w:val="4"/>
    <w:qFormat/>
    <w:locked/>
    <w:uiPriority w:val="99"/>
    <w:rPr>
      <w:rFonts w:ascii="Times New Roman" w:hAnsi="Times New Roman" w:cs="Times New Roman"/>
      <w:b/>
      <w:bCs/>
      <w:kern w:val="44"/>
      <w:sz w:val="44"/>
      <w:szCs w:val="44"/>
    </w:rPr>
  </w:style>
  <w:style w:type="character" w:customStyle="1" w:styleId="44">
    <w:name w:val="标题 3 字符"/>
    <w:basedOn w:val="9"/>
    <w:link w:val="6"/>
    <w:semiHidden/>
    <w:qFormat/>
    <w:locked/>
    <w:uiPriority w:val="99"/>
    <w:rPr>
      <w:rFonts w:ascii="Times New Roman" w:hAnsi="Times New Roman" w:cs="Times New Roman"/>
      <w:b/>
      <w:bCs/>
      <w:sz w:val="32"/>
      <w:szCs w:val="32"/>
    </w:rPr>
  </w:style>
  <w:style w:type="character" w:customStyle="1" w:styleId="45">
    <w:name w:val="标题 4 字符"/>
    <w:basedOn w:val="9"/>
    <w:link w:val="7"/>
    <w:semiHidden/>
    <w:qFormat/>
    <w:locked/>
    <w:uiPriority w:val="99"/>
    <w:rPr>
      <w:rFonts w:ascii="Cambria" w:hAnsi="Cambria" w:eastAsia="宋体" w:cs="Cambria"/>
      <w:b/>
      <w:bCs/>
      <w:sz w:val="28"/>
      <w:szCs w:val="28"/>
    </w:rPr>
  </w:style>
  <w:style w:type="character" w:customStyle="1" w:styleId="46">
    <w:name w:val="标题 5 字符"/>
    <w:basedOn w:val="9"/>
    <w:link w:val="8"/>
    <w:semiHidden/>
    <w:qFormat/>
    <w:locked/>
    <w:uiPriority w:val="99"/>
    <w:rPr>
      <w:rFonts w:ascii="Times New Roman" w:hAnsi="Times New Roman" w:cs="Times New Roman"/>
      <w:b/>
      <w:bCs/>
      <w:sz w:val="28"/>
      <w:szCs w:val="28"/>
    </w:rPr>
  </w:style>
  <w:style w:type="character" w:customStyle="1" w:styleId="47">
    <w:name w:val="正文文本 字符"/>
    <w:basedOn w:val="9"/>
    <w:link w:val="3"/>
    <w:semiHidden/>
    <w:qFormat/>
    <w:locked/>
    <w:uiPriority w:val="99"/>
    <w:rPr>
      <w:rFonts w:ascii="Times New Roman" w:hAnsi="Times New Roman" w:cs="Times New Roman"/>
      <w:sz w:val="21"/>
      <w:szCs w:val="21"/>
    </w:rPr>
  </w:style>
  <w:style w:type="character" w:customStyle="1" w:styleId="48">
    <w:name w:val="正文文本缩进 字符"/>
    <w:basedOn w:val="9"/>
    <w:link w:val="12"/>
    <w:semiHidden/>
    <w:qFormat/>
    <w:locked/>
    <w:uiPriority w:val="99"/>
    <w:rPr>
      <w:rFonts w:ascii="Times New Roman" w:hAnsi="Times New Roman" w:cs="Times New Roman"/>
      <w:sz w:val="21"/>
      <w:szCs w:val="21"/>
    </w:rPr>
  </w:style>
  <w:style w:type="character" w:customStyle="1" w:styleId="49">
    <w:name w:val="正文文本缩进 2 字符"/>
    <w:basedOn w:val="9"/>
    <w:link w:val="14"/>
    <w:semiHidden/>
    <w:qFormat/>
    <w:locked/>
    <w:uiPriority w:val="99"/>
    <w:rPr>
      <w:rFonts w:ascii="Times New Roman" w:hAnsi="Times New Roman" w:cs="Times New Roman"/>
      <w:sz w:val="21"/>
      <w:szCs w:val="21"/>
    </w:rPr>
  </w:style>
  <w:style w:type="character" w:customStyle="1" w:styleId="50">
    <w:name w:val="页脚 字符"/>
    <w:basedOn w:val="9"/>
    <w:link w:val="21"/>
    <w:qFormat/>
    <w:locked/>
    <w:uiPriority w:val="99"/>
    <w:rPr>
      <w:rFonts w:ascii="Times New Roman" w:hAnsi="Times New Roman" w:cs="Times New Roman"/>
      <w:sz w:val="18"/>
      <w:szCs w:val="18"/>
    </w:rPr>
  </w:style>
  <w:style w:type="character" w:customStyle="1" w:styleId="51">
    <w:name w:val="页眉 字符"/>
    <w:basedOn w:val="9"/>
    <w:link w:val="22"/>
    <w:semiHidden/>
    <w:qFormat/>
    <w:locked/>
    <w:uiPriority w:val="99"/>
    <w:rPr>
      <w:rFonts w:ascii="Times New Roman" w:hAnsi="Times New Roman" w:cs="Times New Roman"/>
      <w:sz w:val="18"/>
      <w:szCs w:val="18"/>
    </w:rPr>
  </w:style>
  <w:style w:type="character" w:customStyle="1" w:styleId="52">
    <w:name w:val="标题 字符"/>
    <w:basedOn w:val="9"/>
    <w:link w:val="38"/>
    <w:qFormat/>
    <w:locked/>
    <w:uiPriority w:val="99"/>
    <w:rPr>
      <w:rFonts w:ascii="Cambria" w:hAnsi="Cambria" w:cs="Cambria"/>
      <w:b/>
      <w:bCs/>
      <w:sz w:val="32"/>
      <w:szCs w:val="32"/>
    </w:rPr>
  </w:style>
  <w:style w:type="paragraph" w:customStyle="1" w:styleId="53">
    <w:name w:val="WPSOffice手动目录 1"/>
    <w:qFormat/>
    <w:uiPriority w:val="99"/>
    <w:rPr>
      <w:rFonts w:ascii="Times New Roman" w:hAnsi="Times New Roman" w:eastAsia="宋体" w:cs="Times New Roman"/>
      <w:lang w:val="en-US" w:eastAsia="zh-CN" w:bidi="ar-SA"/>
    </w:rPr>
  </w:style>
  <w:style w:type="paragraph" w:customStyle="1" w:styleId="54">
    <w:name w:val="附件标题-1"/>
    <w:basedOn w:val="1"/>
    <w:qFormat/>
    <w:uiPriority w:val="99"/>
    <w:pPr>
      <w:spacing w:beforeLines="50" w:afterLines="50"/>
      <w:jc w:val="center"/>
    </w:pPr>
    <w:rPr>
      <w:rFonts w:eastAsia="黑体"/>
      <w:sz w:val="32"/>
      <w:szCs w:val="32"/>
    </w:rPr>
  </w:style>
  <w:style w:type="paragraph" w:customStyle="1" w:styleId="55">
    <w:name w:val="TOC 标题1"/>
    <w:basedOn w:val="4"/>
    <w:next w:val="1"/>
    <w:qFormat/>
    <w:uiPriority w:val="99"/>
    <w:pPr>
      <w:widowControl/>
      <w:spacing w:before="480" w:line="276" w:lineRule="auto"/>
      <w:jc w:val="left"/>
      <w:outlineLvl w:val="9"/>
    </w:pPr>
    <w:rPr>
      <w:rFonts w:ascii="Cambria" w:hAnsi="Cambria" w:cs="Cambria"/>
      <w:color w:val="365F91"/>
      <w:kern w:val="0"/>
      <w:sz w:val="28"/>
      <w:szCs w:val="28"/>
    </w:rPr>
  </w:style>
  <w:style w:type="paragraph" w:customStyle="1" w:styleId="56">
    <w:name w:val="列出段落11"/>
    <w:basedOn w:val="1"/>
    <w:qFormat/>
    <w:uiPriority w:val="99"/>
    <w:pPr>
      <w:ind w:firstLine="420" w:firstLineChars="200"/>
    </w:pPr>
    <w:rPr>
      <w:sz w:val="28"/>
      <w:szCs w:val="28"/>
    </w:rPr>
  </w:style>
  <w:style w:type="character" w:customStyle="1" w:styleId="57">
    <w:name w:val="批注框文本 字符"/>
    <w:basedOn w:val="9"/>
    <w:link w:val="11"/>
    <w:semiHidden/>
    <w:qFormat/>
    <w:uiPriority w:val="99"/>
    <w:rPr>
      <w:kern w:val="2"/>
      <w:sz w:val="18"/>
      <w:szCs w:val="18"/>
    </w:rPr>
  </w:style>
  <w:style w:type="character" w:customStyle="1" w:styleId="58">
    <w:name w:val="批注文字 字符"/>
    <w:basedOn w:val="9"/>
    <w:link w:val="17"/>
    <w:qFormat/>
    <w:uiPriority w:val="99"/>
    <w:rPr>
      <w:kern w:val="2"/>
      <w:sz w:val="21"/>
      <w:szCs w:val="21"/>
    </w:rPr>
  </w:style>
  <w:style w:type="character" w:customStyle="1" w:styleId="59">
    <w:name w:val="批注主题 字符"/>
    <w:basedOn w:val="58"/>
    <w:link w:val="18"/>
    <w:semiHidden/>
    <w:qFormat/>
    <w:uiPriority w:val="99"/>
    <w:rPr>
      <w:b/>
      <w:bCs/>
      <w:kern w:val="2"/>
      <w:sz w:val="21"/>
      <w:szCs w:val="21"/>
    </w:rPr>
  </w:style>
  <w:style w:type="paragraph" w:customStyle="1" w:styleId="60">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61">
    <w:name w:val="choose-status"/>
    <w:basedOn w:val="9"/>
    <w:qFormat/>
    <w:uiPriority w:val="0"/>
    <w:rPr>
      <w:color w:val="1F85EC"/>
      <w:shd w:val="clear" w:color="auto" w:fill="FFFFFF"/>
    </w:rPr>
  </w:style>
  <w:style w:type="character" w:customStyle="1" w:styleId="62">
    <w:name w:val="movedownrow"/>
    <w:basedOn w:val="9"/>
    <w:qFormat/>
    <w:uiPriority w:val="0"/>
    <w:rPr>
      <w:color w:val="1F85EC"/>
    </w:rPr>
  </w:style>
  <w:style w:type="character" w:customStyle="1" w:styleId="63">
    <w:name w:val="drapbtn"/>
    <w:basedOn w:val="9"/>
    <w:qFormat/>
    <w:uiPriority w:val="0"/>
  </w:style>
  <w:style w:type="character" w:customStyle="1" w:styleId="64">
    <w:name w:val="layui-layer-tabnow"/>
    <w:basedOn w:val="9"/>
    <w:qFormat/>
    <w:uiPriority w:val="0"/>
    <w:rPr>
      <w:bdr w:val="single" w:color="CCCCCC" w:sz="6" w:space="0"/>
      <w:shd w:val="clear" w:color="auto" w:fill="FFFFFF"/>
    </w:rPr>
  </w:style>
  <w:style w:type="character" w:customStyle="1" w:styleId="65">
    <w:name w:val="pagechatarealistclose_box"/>
    <w:basedOn w:val="9"/>
    <w:qFormat/>
    <w:uiPriority w:val="0"/>
  </w:style>
  <w:style w:type="character" w:customStyle="1" w:styleId="66">
    <w:name w:val="pagechatarealistclose_box1"/>
    <w:basedOn w:val="9"/>
    <w:qFormat/>
    <w:uiPriority w:val="0"/>
  </w:style>
  <w:style w:type="character" w:customStyle="1" w:styleId="67">
    <w:name w:val="first-child"/>
    <w:basedOn w:val="9"/>
    <w:qFormat/>
    <w:uiPriority w:val="0"/>
  </w:style>
  <w:style w:type="character" w:customStyle="1" w:styleId="68">
    <w:name w:val="iconline2"/>
    <w:basedOn w:val="9"/>
    <w:qFormat/>
    <w:uiPriority w:val="0"/>
  </w:style>
  <w:style w:type="character" w:customStyle="1" w:styleId="69">
    <w:name w:val="cy"/>
    <w:basedOn w:val="9"/>
    <w:qFormat/>
    <w:uiPriority w:val="0"/>
  </w:style>
  <w:style w:type="character" w:customStyle="1" w:styleId="70">
    <w:name w:val="associateddata"/>
    <w:basedOn w:val="9"/>
    <w:qFormat/>
    <w:uiPriority w:val="0"/>
    <w:rPr>
      <w:shd w:val="clear" w:color="auto" w:fill="50A6F9"/>
    </w:rPr>
  </w:style>
  <w:style w:type="character" w:customStyle="1" w:styleId="71">
    <w:name w:val="w32"/>
    <w:basedOn w:val="9"/>
    <w:qFormat/>
    <w:uiPriority w:val="0"/>
  </w:style>
  <w:style w:type="character" w:customStyle="1" w:styleId="72">
    <w:name w:val="icontext3"/>
    <w:basedOn w:val="9"/>
    <w:qFormat/>
    <w:uiPriority w:val="0"/>
  </w:style>
  <w:style w:type="character" w:customStyle="1" w:styleId="73">
    <w:name w:val="after"/>
    <w:basedOn w:val="9"/>
    <w:qFormat/>
    <w:uiPriority w:val="0"/>
    <w:rPr>
      <w:sz w:val="0"/>
      <w:szCs w:val="0"/>
    </w:rPr>
  </w:style>
  <w:style w:type="character" w:customStyle="1" w:styleId="74">
    <w:name w:val="insertrow"/>
    <w:basedOn w:val="9"/>
    <w:qFormat/>
    <w:uiPriority w:val="0"/>
    <w:rPr>
      <w:color w:val="1F85EC"/>
    </w:rPr>
  </w:style>
  <w:style w:type="character" w:customStyle="1" w:styleId="75">
    <w:name w:val="copyrow"/>
    <w:basedOn w:val="9"/>
    <w:qFormat/>
    <w:uiPriority w:val="0"/>
    <w:rPr>
      <w:color w:val="1F85EC"/>
    </w:rPr>
  </w:style>
  <w:style w:type="character" w:customStyle="1" w:styleId="76">
    <w:name w:val="hilite"/>
    <w:basedOn w:val="9"/>
    <w:qFormat/>
    <w:uiPriority w:val="0"/>
    <w:rPr>
      <w:color w:val="FFFFFF"/>
      <w:shd w:val="clear" w:color="auto" w:fill="666666"/>
    </w:rPr>
  </w:style>
  <w:style w:type="character" w:customStyle="1" w:styleId="77">
    <w:name w:val="tmpztreemove_arrow"/>
    <w:basedOn w:val="9"/>
    <w:qFormat/>
    <w:uiPriority w:val="0"/>
  </w:style>
  <w:style w:type="character" w:customStyle="1" w:styleId="78">
    <w:name w:val="cdropleft"/>
    <w:basedOn w:val="9"/>
    <w:qFormat/>
    <w:uiPriority w:val="0"/>
  </w:style>
  <w:style w:type="character" w:customStyle="1" w:styleId="79">
    <w:name w:val="active8"/>
    <w:basedOn w:val="9"/>
    <w:qFormat/>
    <w:uiPriority w:val="0"/>
    <w:rPr>
      <w:color w:val="00FF00"/>
      <w:shd w:val="clear" w:color="auto" w:fill="111111"/>
    </w:rPr>
  </w:style>
  <w:style w:type="character" w:customStyle="1" w:styleId="80">
    <w:name w:val="active9"/>
    <w:basedOn w:val="9"/>
    <w:qFormat/>
    <w:uiPriority w:val="0"/>
    <w:rPr>
      <w:shd w:val="clear" w:color="auto" w:fill="EC3535"/>
    </w:rPr>
  </w:style>
  <w:style w:type="character" w:customStyle="1" w:styleId="81">
    <w:name w:val="cdropright"/>
    <w:basedOn w:val="9"/>
    <w:qFormat/>
    <w:uiPriority w:val="0"/>
  </w:style>
  <w:style w:type="character" w:customStyle="1" w:styleId="82">
    <w:name w:val="icontext2"/>
    <w:basedOn w:val="9"/>
    <w:qFormat/>
    <w:uiPriority w:val="0"/>
  </w:style>
  <w:style w:type="character" w:customStyle="1" w:styleId="83">
    <w:name w:val="ico1653"/>
    <w:basedOn w:val="9"/>
    <w:qFormat/>
    <w:uiPriority w:val="0"/>
  </w:style>
  <w:style w:type="character" w:customStyle="1" w:styleId="84">
    <w:name w:val="ico1654"/>
    <w:basedOn w:val="9"/>
    <w:qFormat/>
    <w:uiPriority w:val="0"/>
  </w:style>
  <w:style w:type="character" w:customStyle="1" w:styleId="85">
    <w:name w:val="icontext1"/>
    <w:basedOn w:val="9"/>
    <w:qFormat/>
    <w:uiPriority w:val="0"/>
  </w:style>
  <w:style w:type="character" w:customStyle="1" w:styleId="86">
    <w:name w:val="icontext11"/>
    <w:basedOn w:val="9"/>
    <w:qFormat/>
    <w:uiPriority w:val="0"/>
  </w:style>
  <w:style w:type="character" w:customStyle="1" w:styleId="87">
    <w:name w:val="icontext12"/>
    <w:basedOn w:val="9"/>
    <w:qFormat/>
    <w:uiPriority w:val="0"/>
  </w:style>
  <w:style w:type="character" w:customStyle="1" w:styleId="88">
    <w:name w:val="last-child"/>
    <w:basedOn w:val="9"/>
    <w:qFormat/>
    <w:uiPriority w:val="0"/>
  </w:style>
  <w:style w:type="character" w:customStyle="1" w:styleId="89">
    <w:name w:val="moveuprow"/>
    <w:basedOn w:val="9"/>
    <w:qFormat/>
    <w:uiPriority w:val="0"/>
    <w:rPr>
      <w:color w:val="1F85EC"/>
    </w:rPr>
  </w:style>
  <w:style w:type="character" w:customStyle="1" w:styleId="90">
    <w:name w:val="deleterow"/>
    <w:basedOn w:val="9"/>
    <w:qFormat/>
    <w:uiPriority w:val="0"/>
    <w:rPr>
      <w:color w:val="FF5E5E"/>
    </w:rPr>
  </w:style>
  <w:style w:type="character" w:customStyle="1" w:styleId="91">
    <w:name w:val="button4"/>
    <w:basedOn w:val="9"/>
    <w:qFormat/>
    <w:uiPriority w:val="0"/>
  </w:style>
  <w:style w:type="paragraph" w:customStyle="1" w:styleId="92">
    <w:name w:val="样式 正文缩进 + 首行缩进:  2.56 字符 段前: 0.6 行 段后: 0.6 行"/>
    <w:basedOn w:val="34"/>
    <w:qFormat/>
    <w:uiPriority w:val="0"/>
    <w:pPr>
      <w:adjustRightInd w:val="0"/>
      <w:spacing w:beforeLines="60" w:afterLines="60" w:line="300" w:lineRule="auto"/>
      <w:ind w:firstLine="0" w:firstLineChars="0"/>
      <w:textAlignment w:val="baseline"/>
    </w:pPr>
    <w:rPr>
      <w:rFonts w:ascii="微软简仿宋" w:hAnsi="宋体" w:eastAsia="楷体_GB2312" w:cs="宋体"/>
      <w:snapToGrid w:val="0"/>
      <w:sz w:val="20"/>
      <w:lang w:val="zh-CN"/>
    </w:rPr>
  </w:style>
  <w:style w:type="character" w:customStyle="1" w:styleId="93">
    <w:name w:val="active6"/>
    <w:qFormat/>
    <w:uiPriority w:val="0"/>
    <w:rPr>
      <w:color w:val="00FF00"/>
      <w:shd w:val="clear" w:color="auto" w:fill="111111"/>
    </w:rPr>
  </w:style>
  <w:style w:type="character" w:customStyle="1" w:styleId="94">
    <w:name w:val="active7"/>
    <w:qFormat/>
    <w:uiPriority w:val="0"/>
    <w:rPr>
      <w:shd w:val="clear" w:color="auto" w:fill="EC3535"/>
    </w:rPr>
  </w:style>
  <w:style w:type="character" w:customStyle="1" w:styleId="95">
    <w:name w:val="hilite6"/>
    <w:qFormat/>
    <w:uiPriority w:val="0"/>
    <w:rPr>
      <w:color w:val="FFFFFF"/>
      <w:shd w:val="clear" w:color="auto" w:fill="666666"/>
    </w:rPr>
  </w:style>
  <w:style w:type="character" w:customStyle="1" w:styleId="96">
    <w:name w:val="button"/>
    <w:qFormat/>
    <w:uiPriority w:val="0"/>
  </w:style>
  <w:style w:type="character" w:customStyle="1" w:styleId="97">
    <w:name w:val="ico1655"/>
    <w:qFormat/>
    <w:uiPriority w:val="0"/>
  </w:style>
  <w:style w:type="character" w:customStyle="1" w:styleId="98">
    <w:name w:val="iconline21"/>
    <w:qFormat/>
    <w:uiPriority w:val="0"/>
  </w:style>
  <w:style w:type="character" w:customStyle="1" w:styleId="99">
    <w:name w:val="active"/>
    <w:qFormat/>
    <w:uiPriority w:val="0"/>
    <w:rPr>
      <w:shd w:val="clear" w:color="auto" w:fill="EC3535"/>
    </w:rPr>
  </w:style>
  <w:style w:type="character" w:customStyle="1" w:styleId="100">
    <w:name w:val="active1"/>
    <w:qFormat/>
    <w:uiPriority w:val="0"/>
    <w:rPr>
      <w:color w:val="00FF00"/>
      <w:shd w:val="clear" w:color="auto" w:fill="111111"/>
    </w:rPr>
  </w:style>
  <w:style w:type="character" w:customStyle="1" w:styleId="101">
    <w:name w:val="hilite5"/>
    <w:qFormat/>
    <w:uiPriority w:val="0"/>
    <w:rPr>
      <w:color w:val="FFFFFF"/>
      <w:shd w:val="clear" w:color="auto" w:fill="666666"/>
    </w:rPr>
  </w:style>
  <w:style w:type="character" w:customStyle="1" w:styleId="102">
    <w:name w:val="ico1652"/>
    <w:qFormat/>
    <w:uiPriority w:val="0"/>
  </w:style>
  <w:style w:type="paragraph" w:styleId="103">
    <w:name w:val="List Paragraph"/>
    <w:basedOn w:val="1"/>
    <w:qFormat/>
    <w:uiPriority w:val="99"/>
    <w:pPr>
      <w:ind w:firstLine="420" w:firstLineChars="200"/>
    </w:pPr>
  </w:style>
  <w:style w:type="paragraph" w:customStyle="1" w:styleId="10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34</Pages>
  <Words>15991</Words>
  <Characters>16563</Characters>
  <Lines>128</Lines>
  <Paragraphs>36</Paragraphs>
  <TotalTime>197</TotalTime>
  <ScaleCrop>false</ScaleCrop>
  <LinksUpToDate>false</LinksUpToDate>
  <CharactersWithSpaces>17140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2024-03-12T05:36:00Z</dcterms:created>
  <dc:creator>Administrator</dc:creator>
  <cp:lastModifiedBy>NTKO</cp:lastModifiedBy>
  <cp:lastPrinted>2022-12-05T01:22:00Z</cp:lastPrinted>
  <dcterms:modified xsi:type="dcterms:W3CDTF">2024-03-28T02:37:56Z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0-11.8.2.12195</vt:lpwstr>
  </property>
  <property fmtid="{D5CDD505-2E9C-101B-9397-08002B2CF9AE}" pid="3" name="ICV">
    <vt:lpwstr>498679E56C834961B67B67DC511CBF3A</vt:lpwstr>
  </property>
</Properties>
</file>