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40"/>
          <w:tab w:val="left" w:pos="8420"/>
        </w:tabs>
        <w:autoSpaceDE w:val="0"/>
        <w:autoSpaceDN w:val="0"/>
        <w:adjustRightInd w:val="0"/>
        <w:snapToGrid w:val="0"/>
        <w:spacing w:beforeLines="0" w:afterLines="0" w:line="360" w:lineRule="auto"/>
        <w:jc w:val="left"/>
        <w:rPr>
          <w:rFonts w:hint="eastAsia" w:ascii="宋体" w:hAnsi="宋体" w:eastAsia="宋体" w:cs="宋体"/>
          <w:snapToGrid w:val="0"/>
          <w:color w:val="auto"/>
          <w:kern w:val="0"/>
          <w:szCs w:val="21"/>
          <w:highlight w:val="none"/>
          <w:u w:val="none"/>
          <w:lang w:val="en-US" w:eastAsia="zh-CN"/>
        </w:rPr>
      </w:pPr>
      <w:bookmarkStart w:id="0" w:name="_Toc287620665"/>
    </w:p>
    <w:p>
      <w:pPr>
        <w:tabs>
          <w:tab w:val="left" w:pos="5140"/>
          <w:tab w:val="left" w:pos="8420"/>
        </w:tabs>
        <w:autoSpaceDE w:val="0"/>
        <w:autoSpaceDN w:val="0"/>
        <w:adjustRightInd w:val="0"/>
        <w:snapToGrid w:val="0"/>
        <w:spacing w:beforeLines="0" w:afterLines="0" w:line="360" w:lineRule="auto"/>
        <w:jc w:val="left"/>
        <w:rPr>
          <w:rFonts w:hint="default" w:ascii="宋体" w:hAnsi="宋体" w:eastAsia="宋体" w:cs="宋体"/>
          <w:snapToGrid w:val="0"/>
          <w:color w:val="auto"/>
          <w:kern w:val="0"/>
          <w:szCs w:val="21"/>
          <w:highlight w:val="none"/>
          <w:u w:val="none"/>
          <w:lang w:val="en-US"/>
        </w:rPr>
      </w:pPr>
      <w:r>
        <w:rPr>
          <w:rFonts w:hint="eastAsia" w:ascii="宋体" w:hAnsi="宋体" w:eastAsia="宋体" w:cs="宋体"/>
          <w:snapToGrid w:val="0"/>
          <w:color w:val="auto"/>
          <w:kern w:val="0"/>
          <w:szCs w:val="21"/>
          <w:highlight w:val="none"/>
          <w:u w:val="none"/>
          <w:lang w:val="en-US" w:eastAsia="zh-CN"/>
        </w:rPr>
        <w:t>附件：</w:t>
      </w:r>
      <w:r>
        <w:rPr>
          <w:rFonts w:hint="eastAsia" w:ascii="宋体" w:hAnsi="宋体" w:eastAsia="宋体" w:cs="宋体"/>
          <w:snapToGrid w:val="0"/>
          <w:color w:val="auto"/>
          <w:kern w:val="0"/>
          <w:szCs w:val="21"/>
          <w:highlight w:val="none"/>
          <w:u w:val="none"/>
          <w:lang w:eastAsia="zh-CN"/>
        </w:rPr>
        <w:t>渝湘复线彭酉段（K15+270～K105+360）机电工程项目</w:t>
      </w:r>
      <w:r>
        <w:rPr>
          <w:rFonts w:hint="eastAsia" w:ascii="宋体" w:hAnsi="宋体" w:eastAsia="宋体" w:cs="宋体"/>
          <w:snapToGrid w:val="0"/>
          <w:color w:val="auto"/>
          <w:kern w:val="0"/>
          <w:szCs w:val="21"/>
          <w:highlight w:val="none"/>
          <w:u w:val="none"/>
          <w:lang w:val="en-US" w:eastAsia="zh-CN"/>
        </w:rPr>
        <w:t>包件内容</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渝湘复线彭酉段（K15+270～K105+360）机电工程项目包件内容</w:t>
      </w:r>
    </w:p>
    <w:p>
      <w:pPr>
        <w:autoSpaceDE w:val="0"/>
        <w:autoSpaceDN w:val="0"/>
        <w:adjustRightInd w:val="0"/>
        <w:snapToGrid w:val="0"/>
        <w:spacing w:line="360" w:lineRule="auto"/>
        <w:jc w:val="left"/>
        <w:rPr>
          <w:rFonts w:ascii="宋体" w:hAnsi="宋体"/>
          <w:color w:val="auto"/>
          <w:kern w:val="0"/>
          <w:sz w:val="10"/>
          <w:szCs w:val="10"/>
          <w:highlight w:val="none"/>
        </w:rPr>
      </w:pPr>
    </w:p>
    <w:tbl>
      <w:tblPr>
        <w:tblStyle w:val="47"/>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10"/>
        <w:gridCol w:w="2325"/>
        <w:gridCol w:w="645"/>
        <w:gridCol w:w="1575"/>
        <w:gridCol w:w="132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24" w:type="dxa"/>
            <w:vAlign w:val="center"/>
          </w:tcPr>
          <w:p>
            <w:pPr>
              <w:snapToGrid w:val="0"/>
              <w:spacing w:line="240" w:lineRule="auto"/>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序号</w:t>
            </w:r>
          </w:p>
        </w:tc>
        <w:tc>
          <w:tcPr>
            <w:tcW w:w="2010" w:type="dxa"/>
            <w:vAlign w:val="center"/>
          </w:tcPr>
          <w:p>
            <w:pPr>
              <w:snapToGrid w:val="0"/>
              <w:spacing w:line="240" w:lineRule="auto"/>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材料设备名称</w:t>
            </w:r>
          </w:p>
        </w:tc>
        <w:tc>
          <w:tcPr>
            <w:tcW w:w="2325" w:type="dxa"/>
            <w:vAlign w:val="center"/>
          </w:tcPr>
          <w:p>
            <w:pPr>
              <w:snapToGrid w:val="0"/>
              <w:spacing w:line="240" w:lineRule="auto"/>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规格型号、参数等要求</w:t>
            </w:r>
          </w:p>
        </w:tc>
        <w:tc>
          <w:tcPr>
            <w:tcW w:w="645" w:type="dxa"/>
            <w:vAlign w:val="center"/>
          </w:tcPr>
          <w:p>
            <w:pPr>
              <w:snapToGrid w:val="0"/>
              <w:spacing w:line="240" w:lineRule="auto"/>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单位</w:t>
            </w:r>
          </w:p>
        </w:tc>
        <w:tc>
          <w:tcPr>
            <w:tcW w:w="1575" w:type="dxa"/>
            <w:vAlign w:val="center"/>
          </w:tcPr>
          <w:p>
            <w:pPr>
              <w:snapToGrid w:val="0"/>
              <w:spacing w:line="240" w:lineRule="auto"/>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彭酉路机电一标采购量</w:t>
            </w:r>
          </w:p>
        </w:tc>
        <w:tc>
          <w:tcPr>
            <w:tcW w:w="1320" w:type="dxa"/>
            <w:vAlign w:val="center"/>
          </w:tcPr>
          <w:p>
            <w:pPr>
              <w:snapToGrid w:val="0"/>
              <w:spacing w:line="240" w:lineRule="auto"/>
              <w:jc w:val="center"/>
              <w:rPr>
                <w:rFonts w:hint="eastAsia" w:ascii="宋体" w:hAnsi="宋体" w:cs="宋体"/>
                <w:b/>
                <w:bCs/>
                <w:color w:val="auto"/>
                <w:sz w:val="18"/>
                <w:szCs w:val="18"/>
                <w:highlight w:val="none"/>
                <w:vertAlign w:val="baseline"/>
              </w:rPr>
            </w:pPr>
            <w:r>
              <w:rPr>
                <w:rFonts w:hint="eastAsia" w:ascii="宋体" w:hAnsi="宋体" w:cs="宋体"/>
                <w:b/>
                <w:bCs/>
                <w:color w:val="auto"/>
                <w:sz w:val="18"/>
                <w:szCs w:val="18"/>
                <w:highlight w:val="none"/>
                <w:vertAlign w:val="baseline"/>
                <w:lang w:val="en-US" w:eastAsia="zh-CN"/>
              </w:rPr>
              <w:t>彭酉路机电二标采购量</w:t>
            </w:r>
          </w:p>
        </w:tc>
        <w:tc>
          <w:tcPr>
            <w:tcW w:w="744" w:type="dxa"/>
            <w:vAlign w:val="center"/>
          </w:tcPr>
          <w:p>
            <w:pPr>
              <w:snapToGrid w:val="0"/>
              <w:spacing w:line="240" w:lineRule="auto"/>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cs="宋体"/>
                <w:b/>
                <w:bCs/>
                <w:color w:val="auto"/>
                <w:sz w:val="18"/>
                <w:szCs w:val="18"/>
                <w:highlight w:val="none"/>
                <w:vertAlign w:val="baseline"/>
                <w:lang w:val="en-US" w:eastAsia="zh-CN"/>
              </w:rPr>
            </w:pPr>
            <w:r>
              <w:rPr>
                <w:rFonts w:hint="eastAsia" w:ascii="宋体" w:hAnsi="宋体" w:cs="宋体"/>
                <w:b/>
                <w:bCs/>
                <w:color w:val="auto"/>
                <w:sz w:val="18"/>
                <w:szCs w:val="18"/>
                <w:highlight w:val="none"/>
                <w:vertAlign w:val="baseline"/>
                <w:lang w:val="en-US" w:eastAsia="zh-CN"/>
              </w:rPr>
              <w:t>包件1：工控机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w:t>
            </w:r>
          </w:p>
        </w:tc>
        <w:tc>
          <w:tcPr>
            <w:tcW w:w="2010" w:type="dxa"/>
            <w:vAlign w:val="center"/>
          </w:tcPr>
          <w:p>
            <w:pPr>
              <w:keepNext w:val="0"/>
              <w:keepLines w:val="0"/>
              <w:widowControl/>
              <w:suppressLineNumbers w:val="0"/>
              <w:jc w:val="left"/>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ETC门架工控机（含操作系统及数据库）</w:t>
            </w:r>
          </w:p>
        </w:tc>
        <w:tc>
          <w:tcPr>
            <w:tcW w:w="2325" w:type="dxa"/>
            <w:vAlign w:val="center"/>
          </w:tcPr>
          <w:p>
            <w:pPr>
              <w:keepNext w:val="0"/>
              <w:keepLines w:val="0"/>
              <w:widowControl/>
              <w:suppressLineNumbers w:val="0"/>
              <w:jc w:val="left"/>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Intel Corei7，16GB DDR4; 20”以上1920*1080p分辨 率显示器</w:t>
            </w:r>
          </w:p>
        </w:tc>
        <w:tc>
          <w:tcPr>
            <w:tcW w:w="645"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套</w:t>
            </w:r>
          </w:p>
        </w:tc>
        <w:tc>
          <w:tcPr>
            <w:tcW w:w="1575"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8</w:t>
            </w:r>
          </w:p>
        </w:tc>
        <w:tc>
          <w:tcPr>
            <w:tcW w:w="1320"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8</w:t>
            </w:r>
          </w:p>
        </w:tc>
        <w:tc>
          <w:tcPr>
            <w:tcW w:w="744" w:type="dxa"/>
            <w:vMerge w:val="restart"/>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w:t>
            </w:r>
          </w:p>
        </w:tc>
        <w:tc>
          <w:tcPr>
            <w:tcW w:w="2010" w:type="dxa"/>
            <w:vAlign w:val="center"/>
          </w:tcPr>
          <w:p>
            <w:pPr>
              <w:keepNext w:val="0"/>
              <w:keepLines w:val="0"/>
              <w:widowControl/>
              <w:suppressLineNumbers w:val="0"/>
              <w:jc w:val="left"/>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车道控制机（含操作系统及数据库）</w:t>
            </w:r>
          </w:p>
        </w:tc>
        <w:tc>
          <w:tcPr>
            <w:tcW w:w="2325" w:type="dxa"/>
            <w:vAlign w:val="center"/>
          </w:tcPr>
          <w:p>
            <w:pPr>
              <w:keepNext w:val="0"/>
              <w:keepLines w:val="0"/>
              <w:widowControl/>
              <w:suppressLineNumbers w:val="0"/>
              <w:jc w:val="left"/>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含车道控制器</w:t>
            </w:r>
          </w:p>
        </w:tc>
        <w:tc>
          <w:tcPr>
            <w:tcW w:w="645" w:type="dxa"/>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套</w:t>
            </w:r>
          </w:p>
        </w:tc>
        <w:tc>
          <w:tcPr>
            <w:tcW w:w="1575"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34</w:t>
            </w:r>
          </w:p>
        </w:tc>
        <w:tc>
          <w:tcPr>
            <w:tcW w:w="1320"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28</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w:t>
            </w:r>
          </w:p>
        </w:tc>
        <w:tc>
          <w:tcPr>
            <w:tcW w:w="2010" w:type="dxa"/>
            <w:vAlign w:val="center"/>
          </w:tcPr>
          <w:p>
            <w:pPr>
              <w:keepNext w:val="0"/>
              <w:keepLines w:val="0"/>
              <w:widowControl/>
              <w:suppressLineNumbers w:val="0"/>
              <w:jc w:val="left"/>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工控机（含操作系统及数据库）（治超）</w:t>
            </w:r>
          </w:p>
        </w:tc>
        <w:tc>
          <w:tcPr>
            <w:tcW w:w="2325" w:type="dxa"/>
            <w:vAlign w:val="center"/>
          </w:tcPr>
          <w:p>
            <w:pPr>
              <w:keepNext w:val="0"/>
              <w:keepLines w:val="0"/>
              <w:widowControl/>
              <w:suppressLineNumbers w:val="0"/>
              <w:jc w:val="left"/>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Intel 4核3Chz CPU, 16CB内存，主板内置4个以上USB2.0口，2个以上网口，500GB SSD硬盘(保存1个月数据和图片)，带收费键盘；出口抽查复用混合车道车道控制器；带2T机械硬盘</w:t>
            </w:r>
          </w:p>
        </w:tc>
        <w:tc>
          <w:tcPr>
            <w:tcW w:w="645" w:type="dxa"/>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套</w:t>
            </w:r>
          </w:p>
        </w:tc>
        <w:tc>
          <w:tcPr>
            <w:tcW w:w="1575"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w:t>
            </w:r>
          </w:p>
        </w:tc>
        <w:tc>
          <w:tcPr>
            <w:tcW w:w="1320"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包件2：户外机柜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户外一体式机柜</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防护等级IP55，带空调、温湿度监测、门开启监测等; 含后备电源(锂电池)，后备时间不小于6小时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8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restart"/>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收费机柜</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600*800*1200</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34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包件3：服务器及工作站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收费服务器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Xeon Silver 4116 2颗,内存：192GB(6*32G)，DDR4；存储：6*4TB ,含显示器（19寸及以上）及键鼠设备</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cs="宋体"/>
                <w:color w:val="auto"/>
                <w:sz w:val="18"/>
                <w:szCs w:val="18"/>
                <w:highlight w:val="none"/>
                <w:vertAlign w:val="baseline"/>
                <w:lang w:val="en-US" w:eastAsia="zh-CN"/>
              </w:rPr>
            </w:pPr>
          </w:p>
        </w:tc>
        <w:tc>
          <w:tcPr>
            <w:tcW w:w="744" w:type="dxa"/>
            <w:vMerge w:val="restart"/>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对讲及广播调度管理服务器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采用嵌入式的结构，机架式设计(1U)，LINUX操作系统， 不怕病毒侵扰，支持双机热备，高稳定性和高可靠性</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cs="宋体"/>
                <w:color w:val="auto"/>
                <w:sz w:val="18"/>
                <w:szCs w:val="18"/>
                <w:highlight w:val="none"/>
                <w:vertAlign w:val="baseline"/>
                <w:lang w:val="en-US" w:eastAsia="zh-CN"/>
              </w:rPr>
            </w:pP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ETC门架监控管理服务器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Xeon Silver 4116 2颗,内存：192GB(6*32G)，DDR4；存储：6*4TB ,含显示器（19寸及以上）及键鼠设备</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cs="宋体"/>
                <w:color w:val="auto"/>
                <w:sz w:val="18"/>
                <w:szCs w:val="18"/>
                <w:highlight w:val="none"/>
                <w:vertAlign w:val="baseline"/>
                <w:lang w:val="en-US" w:eastAsia="zh-CN"/>
              </w:rPr>
            </w:pP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PSAM卡在线授权服务器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Xeon Silver 4116 2颗,内存：192GB(6*32G)，DDR4；存储：6*4TB ,含显示器（19寸及以上）及键鼠设备</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cs="宋体"/>
                <w:color w:val="auto"/>
                <w:sz w:val="18"/>
                <w:szCs w:val="18"/>
                <w:highlight w:val="none"/>
                <w:vertAlign w:val="baseline"/>
                <w:lang w:val="en-US" w:eastAsia="zh-CN"/>
              </w:rPr>
            </w:pP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5</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ETC门架服务器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Xeon Silver 4116 2颗,内存：192GB(6*32G)，DDR4；存储：6*4TB</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6</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称重检测服务器（入口治超）</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Core i7；16GB DDR4；20”以上1920*1080p分辨率显示器</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7</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管理站服务器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Xeon Silver 4116 2颗,内存：192GB(6*32G),DDR4；存储：6*4TB ,含显示器（19寸及以上）及键鼠设备</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8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8</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监控数据服务器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CPU:至强2颗10核处理器/主频: 2.2GH/内存: 64G/硬盘: 4X600G</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9</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应用服务器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CPU:至强2颗10核处理器/主频: 2.2GH/内存: 64G/硬盘: 4X600G</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10</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执法服务器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CPU:至强2颗10核处理器/主频: 2.2GH/内存: 64G/硬盘: 4X600G</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视频综合管理服务器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CPU:至强2颗10核处理器/主频: 2.2GH/内存: 64G/硬盘: 4X600G</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流媒体管理服务器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CPU:至强2颗10核处理器/主频: 2.2GH/内存: 64G/硬盘: 4X600G</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13</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事件检测服务器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CPU:至强2颗10核处理器/主频: 2.2GH/内存: 64G/硬盘: 4X1T</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14</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IP-PBX服务器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I3/ 4GB/500GB/2个千兆电口/2个RS-232串口/双电源</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15</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超高分服务器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CPU:至强2颗10核处理器/主频: 2.2GH/内存: 64G/硬盘: 4X600G</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16</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超融合服务器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CPU:至强2颗10核处理器/主频: 2.2GH/内存: 64G/硬盘: 4X600G</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17</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视频存储服务器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Xeon E5或以上系列8核心服务器处理器，主频≥2.0GHz，含操作系统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18</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视频终端服务器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最大接入16路视频</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19</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视频终端服务器（机房）</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CPU：Intel 至强Xeon Silver 4110；内存：64GB，DDR4；硬盘：5×1.2TB；WINDOWS SERVER 2008(x86/x64)</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20</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串口服务器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16路， 处理器: 32bit 100MHz 内存: 2M，速率: 10/ 100Mbps</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19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15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收费、财务管理工作站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cs="宋体"/>
                <w:color w:val="auto"/>
                <w:sz w:val="18"/>
                <w:szCs w:val="18"/>
                <w:highlight w:val="none"/>
                <w:vertAlign w:val="baseline"/>
                <w:lang w:val="en-US" w:eastAsia="zh-CN"/>
              </w:rPr>
            </w:pP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收费管理工作站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2.0G/16GB/500G/21＂液晶,含Windows 7 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23</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收费服务工作站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2.0G/16GB/500G/21＂液晶,含Windows 7 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8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24</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称重检测工作站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2.0G/16GB/500G/21＂液晶,含Windows 7 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25</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财务管理工作站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2.0G/16GB/500G/21＂液晶,含Windows 7 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26</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视频管理工作站（收费分中心）</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cs="宋体"/>
                <w:color w:val="auto"/>
                <w:sz w:val="18"/>
                <w:szCs w:val="18"/>
                <w:highlight w:val="none"/>
                <w:vertAlign w:val="baseline"/>
                <w:lang w:val="en-US" w:eastAsia="zh-CN"/>
              </w:rPr>
            </w:pP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27</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视频管理工作站（收费站）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2.0G/16GB/500G/21＂液晶,含Windows 7 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28</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视频监控工作站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2.0G/16GB/500G/21＂液晶,含Windows 7 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29</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CPC卡、查询打印管理工作站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cs="宋体"/>
                <w:color w:val="auto"/>
                <w:sz w:val="18"/>
                <w:szCs w:val="18"/>
                <w:highlight w:val="none"/>
                <w:vertAlign w:val="baseline"/>
                <w:lang w:val="en-US" w:eastAsia="zh-CN"/>
              </w:rPr>
            </w:pP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30</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激光打印机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打印幅面：A3,带网络打印接口</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cs="宋体"/>
                <w:color w:val="auto"/>
                <w:sz w:val="18"/>
                <w:szCs w:val="18"/>
                <w:highlight w:val="none"/>
                <w:vertAlign w:val="baseline"/>
                <w:lang w:val="en-US" w:eastAsia="zh-CN"/>
              </w:rPr>
            </w:pP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激光网络打印机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打印幅面：A3,带网络打印接口</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喷墨打印机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打印幅面：A3,带网络打印接口</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5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33</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多媒体控制台(触摸屏)</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21.5英寸，高清1920*1080分辨率显示，NTER双核CPU,</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5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34</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图像管理工作站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35</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火灾报警工作站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36</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火灾报警工作站（工业级）</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Intel酷睿i7（四核或以上），主频3.0GHZ以上，三级缓存12M</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17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15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37</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隧道监控工作站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38</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监控管理工作站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i7/16GB/2TB/29寸液晶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39</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路段监控工作站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40</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视频监控工作站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英特尔i7及以上处理器,≥ 2.0G/16GB/500G/21＂液晶,含Windows 7 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视频管理工作站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i7/16GB/2TB/29寸液晶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联网监控工作站</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43</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现场控制工作站（工业级）</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intel酷睿i7（四核或以上），主频3.0GHZ以上，三级缓存12M</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26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44</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交通控制工作站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45</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通信工作站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46</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紧急电话及有线广播工作站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47</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紧急电话及广播工作站（工业级）</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Intel酷睿i7（四核或以上），主频3.0GHZ以上，三级缓存12M</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48</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IP广播工作站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49</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事件检测工作站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Intel i7 四核处理器/16GB/1T/22 "液晶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50</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激光打印机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打印幅面：A3,带网络打印接口</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51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彩色喷墨打印机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A4</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52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拼接管理计算机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4核主频≥3.3GHz，4GB，1TB，22＂液晶，2GB独立显卡，含操作系统</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53</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电力监控工作站（供配电）</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配置同监控工作站，合显示器</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54</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照明控制工作站</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含操作系统和调光软件</w:t>
            </w:r>
          </w:p>
        </w:tc>
        <w:tc>
          <w:tcPr>
            <w:tcW w:w="64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包件4：费显及信号灯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ETC专用车道费显</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显示规格: 960m宽x640m高, 附着于ETC天线立柱，采用抱箍固定</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18 </w:t>
            </w:r>
          </w:p>
        </w:tc>
        <w:tc>
          <w:tcPr>
            <w:tcW w:w="744" w:type="dxa"/>
            <w:vMerge w:val="restart"/>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混合车道费显</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显示规格: 960m宽x640m高, 附着于ETC天线立柱，采用抱箍固定</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3</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综合信息显示屏</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含立柱及车道通行灯、声光报警器</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4</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ETC可变情报板</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显示规格: 960m宽x640m高, 附着于ETC天线立柱，采用抱箍固定</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5</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正向天棚灯</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6</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背向天棚灯</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7</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红绿两色信号灯</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外框尺寸为815mm×485mm，通过通过光栅分车器控制信号灯转换</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8</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雾灯</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含立柱</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9</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交通信号灯 三显</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18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13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10</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交通信号灯 四显</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11</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车道控制器“红X绿↓”</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视场角1°时的笔画均亮度:红色&gt;4000cd/m2.参色&gt;5000cd/m2</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360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304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snapToGrid w:val="0"/>
              <w:spacing w:line="240" w:lineRule="auto"/>
              <w:jc w:val="center"/>
              <w:rPr>
                <w:rFonts w:hint="default" w:ascii="宋体" w:hAnsi="宋体" w:cs="宋体"/>
                <w:color w:val="auto"/>
                <w:sz w:val="18"/>
                <w:szCs w:val="18"/>
                <w:highlight w:val="none"/>
                <w:vertAlign w:val="baseline"/>
                <w:lang w:val="en-US" w:eastAsia="zh-CN"/>
              </w:rPr>
            </w:pPr>
            <w:r>
              <w:rPr>
                <w:rFonts w:hint="eastAsia" w:ascii="宋体" w:hAnsi="宋体" w:cs="宋体"/>
                <w:color w:val="auto"/>
                <w:sz w:val="18"/>
                <w:szCs w:val="18"/>
                <w:highlight w:val="none"/>
                <w:vertAlign w:val="baseline"/>
                <w:lang w:val="en-US" w:eastAsia="zh-CN"/>
              </w:rPr>
              <w:t>12</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横通道控制器“←”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视场角1°时的笔画均亮度:红色&gt;4000cd/m2.参色&gt;5000cd/m2</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46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包件5：工业交换机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工业以太网交换机(对讲系统)</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1个千兆端口、24个快速以太网端口，一台设置于收费站，一台设置于设置于中间收费机柜内，用于对讲机音频传输</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restart"/>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24口工业以太网交换机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2个千兆端口、24个快速以太网端口，用于车道、亭内等，摄像机视频传输</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3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工业以太网交换机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8个10/100M RJ45电口，用于ETC车道</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4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工业以太网交换机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8个10/100Base-TX电口，2个10/100BaseFX单模光纤接 口，采用模块化配置，卡轨式安装方式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5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收费岗亭工业交换机(数据)</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三层以太网交换机，24个100M/ 1000M自适应口，2个1000M光口</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6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收费岗亭工业交换机(视频)</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三层以太网交换机，24个100M/ 1000M自适应口，2个1000M光口</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7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光纤收发器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100M，1路</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8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数据工业以太网交换机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8个1000M单模光纤口，16个10/100M RJ45电口</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9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工业以太网交换机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4个1000M单模光纤口，6个10/100M RJ45电口</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769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686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10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视频工业以太网交换机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8个1000M单模光纤口，16个10/100M RJ45电口</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工业以太网交换机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4个1000M单模光纤口，6个10/100M RJ45电口</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364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320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工业以太网交换机（数据）</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2个1000M单模光口，不少于5个10/100M RJ45电口， 带网管</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204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163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13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POE交换机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8千兆口，支持IEEE 802.3供电标准</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default"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14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视频24口POE交换机</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15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桥接AP</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1个千兆口</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部</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室外AP</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为保证整机接入用户数，要求AP采用三射频设计，可同时工作在802.11a/b/g/n/ac/ac wave2/ax模式; 5G射频1接入速率≥2. 4Gbps， 5G射频2接入速率22.4Gbps; 要求5C频段空间流数28,2.40频段空间流数22; 3个接口，其中1个100/1000M/2. 5G/5G/10C接口; 持内置物联BLE(蓝)和RFID功能模块，至少支持10个外置物联网模块链式扩展;</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部</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17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室内AP</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采用整机双频4流设计，可同时工作在802.11a/b/g/n/ac/ac wave2/ax模式;整机协商速率&gt;1. 775Gbps, 其中5G射频速率&gt;1.2G, 2.4G速率&gt; 0. 575C; 5CHz射频Wi-Fi6单户性能HEB80、 2x2:2模式下UDP流量, 5GHz射频:上性能&gt;949Mbps、下2 950Mbps; .</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部</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18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路由器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交换容量&gt;200Cbps，转发性能≥9Mpps;固定接口3GE(2Combo)，业务插槽数&gt;8</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部</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19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光纤收发器（工业级） 单模光纤≥40km</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33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20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光纤收发器（工业级） 单模光纤≥80km</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33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光纤收发器（工业级） 单模光纤≥5km</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71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cs="宋体"/>
                <w:color w:val="auto"/>
                <w:sz w:val="18"/>
                <w:szCs w:val="18"/>
                <w:highlight w:val="none"/>
                <w:vertAlign w:val="baseline"/>
                <w:lang w:val="en-US" w:eastAsia="zh-CN"/>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工业以太网交换机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4个单模1000兆光口+8个百兆电口</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包件6：UPS不间断电源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不间断电源（30KVA/1H）</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30KVA/1H，在线式，三入三出</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jc w:val="center"/>
              <w:rPr>
                <w:rFonts w:hint="eastAsia" w:ascii="宋体" w:hAnsi="宋体" w:eastAsia="宋体" w:cs="宋体"/>
                <w:i w:val="0"/>
                <w:color w:val="auto"/>
                <w:kern w:val="0"/>
                <w:sz w:val="18"/>
                <w:szCs w:val="18"/>
                <w:highlight w:val="none"/>
                <w:u w:val="none"/>
                <w:lang w:val="en-US" w:eastAsia="zh-CN" w:bidi="ar"/>
              </w:rPr>
            </w:pPr>
          </w:p>
        </w:tc>
        <w:tc>
          <w:tcPr>
            <w:tcW w:w="744" w:type="dxa"/>
            <w:vMerge w:val="restart"/>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不间断电源（20KVA/1H）</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20KVA/1H，在线式，三入三出</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7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不间断电源</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40KVA/在线式供电/后备时间: 60分钟，三进三出</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UPS 40KVA</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三进三出，40KVA，在线式，后备时间180分钟,含电池、电池柜、配电柜及柜内设施等</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UPS 30KVA</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三进三出，30KVA，在线式，后备时间180分钟，含电池、电池柜、配电柜及柜内设施等</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r>
              <w:rPr>
                <w:rFonts w:hint="eastAsia" w:ascii="宋体" w:hAnsi="宋体" w:cs="宋体"/>
                <w:i w:val="0"/>
                <w:color w:val="auto"/>
                <w:kern w:val="0"/>
                <w:sz w:val="18"/>
                <w:szCs w:val="18"/>
                <w:highlight w:val="none"/>
                <w:u w:val="none"/>
                <w:lang w:val="en-US" w:eastAsia="zh-CN" w:bidi="ar"/>
              </w:rPr>
              <w:t>6</w:t>
            </w:r>
            <w:r>
              <w:rPr>
                <w:rFonts w:hint="eastAsia" w:ascii="宋体" w:hAnsi="宋体" w:eastAsia="宋体" w:cs="宋体"/>
                <w:i w:val="0"/>
                <w:color w:val="auto"/>
                <w:kern w:val="0"/>
                <w:sz w:val="18"/>
                <w:szCs w:val="18"/>
                <w:highlight w:val="none"/>
                <w:u w:val="none"/>
                <w:lang w:val="en-US" w:eastAsia="zh-CN" w:bidi="ar"/>
              </w:rPr>
              <w:t xml:space="preserve">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17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UPS 20KVA</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三进三出，20KVA，在线式，后备时间180分钟，含电池、电池柜、配电柜及柜内设施等</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7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UPS不间断电源</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三相入三相出，15KVA/1H</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照明UPS电源 20KVA</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20kVA，在线式，三进三出，50Hz，后备时间1小时，含电池及电池柜</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 xml:space="preserve">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9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照明UPS电源 25KVA</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25kVA，在线式，三进三出，50Hz，后备时间1小时，含电池及电池柜</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10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照明UPS电源 30KVA</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30kVA，在线式，三进三出，50Hz，后备时间1小时，含电池及电池柜</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照明UPS电源 40KVA</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40kVA，在线式，三进三出，50Hz，后备时间1小时，含电池及电池柜</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照明UPS电源 50KVA</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50kVA，在线式，三进三出，50Hz，后备时间1小时，含电池及电池柜</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w:t>
            </w:r>
            <w:r>
              <w:rPr>
                <w:rFonts w:hint="eastAsia" w:ascii="宋体" w:hAnsi="宋体" w:cs="宋体"/>
                <w:b/>
                <w:bCs/>
                <w:color w:val="auto"/>
                <w:sz w:val="18"/>
                <w:szCs w:val="18"/>
                <w:highlight w:val="none"/>
                <w:vertAlign w:val="baseline"/>
                <w:lang w:val="en-US" w:eastAsia="zh-CN"/>
              </w:rPr>
              <w:t>7</w:t>
            </w:r>
            <w:r>
              <w:rPr>
                <w:rFonts w:hint="eastAsia" w:ascii="宋体" w:hAnsi="宋体" w:eastAsia="宋体" w:cs="宋体"/>
                <w:b/>
                <w:bCs/>
                <w:color w:val="auto"/>
                <w:sz w:val="18"/>
                <w:szCs w:val="18"/>
                <w:highlight w:val="none"/>
                <w:vertAlign w:val="baseline"/>
                <w:lang w:val="en-US" w:eastAsia="zh-CN"/>
              </w:rPr>
              <w:t>：PLC(区域控制器)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主（备）控区域控制器（含机柜）</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双CPU，双电源，含触摸屏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744" w:type="dxa"/>
            <w:vMerge w:val="restart"/>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区域控制器（含机柜）</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单CPU，双电源，含触摸屏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106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94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w:t>
            </w:r>
            <w:r>
              <w:rPr>
                <w:rFonts w:hint="eastAsia" w:ascii="宋体" w:hAnsi="宋体" w:cs="宋体"/>
                <w:b/>
                <w:bCs/>
                <w:color w:val="auto"/>
                <w:sz w:val="18"/>
                <w:szCs w:val="18"/>
                <w:highlight w:val="none"/>
                <w:vertAlign w:val="baseline"/>
                <w:lang w:val="en-US" w:eastAsia="zh-CN"/>
              </w:rPr>
              <w:t>8</w:t>
            </w:r>
            <w:r>
              <w:rPr>
                <w:rFonts w:hint="eastAsia" w:ascii="宋体" w:hAnsi="宋体" w:eastAsia="宋体" w:cs="宋体"/>
                <w:b/>
                <w:bCs/>
                <w:color w:val="auto"/>
                <w:sz w:val="18"/>
                <w:szCs w:val="18"/>
                <w:highlight w:val="none"/>
                <w:vertAlign w:val="baseline"/>
                <w:lang w:val="en-US" w:eastAsia="zh-CN"/>
              </w:rPr>
              <w:t>：环境检测设备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气象监测器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含能见度、风速风向、雨量、温湿度传感器，含安装附件、立柱基础、防雷接地</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restart"/>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风向风速检测器</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30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洞外亮度检测器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含立柱</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洞内亮度检测器</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30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24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CO/VI检测器</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VI检测范围:0~0.0015m-测量精度:±0.002/m-1 CO检测范围:0~300ppm 测量着度:±2ppm</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30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环境监测器</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w:t>
            </w:r>
            <w:r>
              <w:rPr>
                <w:rFonts w:hint="eastAsia" w:ascii="宋体" w:hAnsi="宋体" w:cs="宋体"/>
                <w:b/>
                <w:bCs/>
                <w:color w:val="auto"/>
                <w:sz w:val="18"/>
                <w:szCs w:val="18"/>
                <w:highlight w:val="none"/>
                <w:vertAlign w:val="baseline"/>
                <w:lang w:val="en-US" w:eastAsia="zh-CN"/>
              </w:rPr>
              <w:t>9</w:t>
            </w:r>
            <w:r>
              <w:rPr>
                <w:rFonts w:hint="eastAsia" w:ascii="宋体" w:hAnsi="宋体" w:eastAsia="宋体" w:cs="宋体"/>
                <w:b/>
                <w:bCs/>
                <w:color w:val="auto"/>
                <w:sz w:val="18"/>
                <w:szCs w:val="18"/>
                <w:highlight w:val="none"/>
                <w:vertAlign w:val="baseline"/>
                <w:lang w:val="en-US" w:eastAsia="zh-CN"/>
              </w:rPr>
              <w:t>：高压柜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高压开关柜（进线）</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KYN28-12/12kV</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33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25 </w:t>
            </w:r>
          </w:p>
        </w:tc>
        <w:tc>
          <w:tcPr>
            <w:tcW w:w="744" w:type="dxa"/>
            <w:vMerge w:val="restart"/>
            <w:vAlign w:val="center"/>
          </w:tcPr>
          <w:p>
            <w:pPr>
              <w:snapToGrid w:val="0"/>
              <w:spacing w:line="240" w:lineRule="auto"/>
              <w:jc w:val="center"/>
              <w:rPr>
                <w:rFonts w:hint="default"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高压开关柜（计量）</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KYN28-12/12kV</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19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13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高压开关柜（PT）</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KYN28-12/12kV</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33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25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高压开关柜（馈线）</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KYN28-12/12kV</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47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37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环网开关柜（进线）</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环网开关柜（计量）</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7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环网开关柜（PT）</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环网开关柜（馈线）</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9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挂杆式高压计量箱</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含PT,CT等</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30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24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w:t>
            </w:r>
            <w:r>
              <w:rPr>
                <w:rFonts w:hint="eastAsia" w:ascii="宋体" w:hAnsi="宋体" w:cs="宋体"/>
                <w:b/>
                <w:bCs/>
                <w:color w:val="auto"/>
                <w:sz w:val="18"/>
                <w:szCs w:val="18"/>
                <w:highlight w:val="none"/>
                <w:vertAlign w:val="baseline"/>
                <w:lang w:val="en-US" w:eastAsia="zh-CN"/>
              </w:rPr>
              <w:t>10</w:t>
            </w:r>
            <w:r>
              <w:rPr>
                <w:rFonts w:hint="eastAsia" w:ascii="宋体" w:hAnsi="宋体" w:eastAsia="宋体" w:cs="宋体"/>
                <w:b/>
                <w:bCs/>
                <w:color w:val="auto"/>
                <w:sz w:val="18"/>
                <w:szCs w:val="18"/>
                <w:highlight w:val="none"/>
                <w:vertAlign w:val="baseline"/>
                <w:lang w:val="en-US" w:eastAsia="zh-CN"/>
              </w:rPr>
              <w:t>：低压柜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低压开关柜（进线）</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低压抽出式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36 </w:t>
            </w:r>
          </w:p>
        </w:tc>
        <w:tc>
          <w:tcPr>
            <w:tcW w:w="744" w:type="dxa"/>
            <w:vMerge w:val="restart"/>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低压开关柜（补偿柜）</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低压抽出式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36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低压开关柜（双电源切换）</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低压抽出式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18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低压开关柜（一般馈线）</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低压抽出式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30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18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低压开关柜（联络）</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低压抽出式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9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低压开关柜（低压馈线）</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低压抽出式</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119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101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w:t>
            </w:r>
            <w:r>
              <w:rPr>
                <w:rFonts w:hint="eastAsia" w:ascii="宋体" w:hAnsi="宋体" w:cs="宋体"/>
                <w:b/>
                <w:bCs/>
                <w:color w:val="auto"/>
                <w:sz w:val="18"/>
                <w:szCs w:val="18"/>
                <w:highlight w:val="none"/>
                <w:vertAlign w:val="baseline"/>
                <w:lang w:val="en-US" w:eastAsia="zh-CN"/>
              </w:rPr>
              <w:t>11</w:t>
            </w:r>
            <w:r>
              <w:rPr>
                <w:rFonts w:hint="eastAsia" w:ascii="宋体" w:hAnsi="宋体" w:eastAsia="宋体" w:cs="宋体"/>
                <w:b/>
                <w:bCs/>
                <w:color w:val="auto"/>
                <w:sz w:val="18"/>
                <w:szCs w:val="18"/>
                <w:highlight w:val="none"/>
                <w:vertAlign w:val="baseline"/>
                <w:lang w:val="en-US" w:eastAsia="zh-CN"/>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10/0.4kV电力变压器 SCBH17-200kVA/10kV</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带IP3X外壳及温度控制器,强制风冷</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744" w:type="dxa"/>
            <w:vMerge w:val="restart"/>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10/0.4kV电力变压器 SCBH17-315kVA/10kV</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带IP3X外壳及温度控制器,强制风冷</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14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10/0.4kV电力变压器 SCBH17-400kVA/10kV</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带IP3X外壳及温度控制器,强制风冷</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20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9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10/0.4kV电力变压器 SCBH17-630kVA/10kV</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带IP3X外壳及温度控制器,强制风冷,能效等级不低于2级</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10/0.4kV电力变压器 SCBH17-500kVA/10kV</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带IP3X外壳及温度控制器,强制风冷</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10/0.4kV电力变压器 SCBH17-800kVA/10kV</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带IP3X外壳及温度控制器,强制风冷</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7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10/0.4kV电力变压器 SCBH17-1000kVA/10kV</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带IP3X外壳及温度控制器,强制风冷,能效等级不低于2级</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预装式箱式变电站外壳</w:t>
            </w:r>
          </w:p>
        </w:tc>
        <w:tc>
          <w:tcPr>
            <w:tcW w:w="2325" w:type="dxa"/>
            <w:vAlign w:val="center"/>
          </w:tcPr>
          <w:p>
            <w:pP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kern w:val="0"/>
                <w:sz w:val="18"/>
                <w:szCs w:val="18"/>
                <w:highlight w:val="none"/>
                <w:u w:val="none"/>
                <w:lang w:bidi="ar"/>
              </w:rPr>
              <w:t>包含内部设备的组装，内部设备由甲方提供，成品交付。</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43" w:type="dxa"/>
            <w:gridSpan w:val="7"/>
            <w:vAlign w:val="center"/>
          </w:tcPr>
          <w:p>
            <w:pPr>
              <w:snapToGrid w:val="0"/>
              <w:spacing w:line="240" w:lineRule="auto"/>
              <w:jc w:val="left"/>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包件</w:t>
            </w:r>
            <w:r>
              <w:rPr>
                <w:rFonts w:hint="eastAsia" w:ascii="宋体" w:hAnsi="宋体" w:cs="宋体"/>
                <w:b/>
                <w:bCs/>
                <w:color w:val="auto"/>
                <w:sz w:val="18"/>
                <w:szCs w:val="18"/>
                <w:highlight w:val="none"/>
                <w:vertAlign w:val="baseline"/>
                <w:lang w:val="en-US" w:eastAsia="zh-CN"/>
              </w:rPr>
              <w:t>12</w:t>
            </w:r>
            <w:r>
              <w:rPr>
                <w:rFonts w:hint="eastAsia" w:ascii="宋体" w:hAnsi="宋体" w:eastAsia="宋体" w:cs="宋体"/>
                <w:b/>
                <w:bCs/>
                <w:color w:val="auto"/>
                <w:sz w:val="18"/>
                <w:szCs w:val="18"/>
                <w:highlight w:val="none"/>
                <w:vertAlign w:val="baseline"/>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防爆型轴流排风机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φ500,220V，350W，含配套防火排烟阀、控制箱等</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744" w:type="dxa"/>
            <w:vMerge w:val="restart"/>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排风道</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400*400</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m</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126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百叶窗</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1200*400,钢制</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个</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8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射流风机</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SDS-1120T-4P-30，风机直径1120mm，电机功率30kw，轴向推力1158N，风机转速1470N/min，风机出口风量32.8m3/s，风机出口风速33.3m/s</w:t>
            </w:r>
            <w:r>
              <w:rPr>
                <w:rFonts w:hint="eastAsia" w:ascii="宋体" w:hAnsi="宋体" w:cs="宋体"/>
                <w:i w:val="0"/>
                <w:color w:val="auto"/>
                <w:kern w:val="0"/>
                <w:sz w:val="18"/>
                <w:szCs w:val="18"/>
                <w:highlight w:val="none"/>
                <w:u w:val="none"/>
                <w:lang w:val="en-US" w:eastAsia="zh-CN" w:bidi="ar"/>
              </w:rPr>
              <w:t>，含风机本体、矩形安装吊架，金属弹簧减震器（每组风机至少4套）、金属安全吊链（每台风机至少2条，每条不低于1.8米）</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226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186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 </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风机就地控制箱</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含JK4002控制箱箱体，6个就地操作按钮LA42-22，6个指示灯AD17-25，一个接线座D1</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113 </w:t>
            </w:r>
          </w:p>
        </w:tc>
        <w:tc>
          <w:tcPr>
            <w:tcW w:w="132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93 </w:t>
            </w:r>
          </w:p>
        </w:tc>
        <w:tc>
          <w:tcPr>
            <w:tcW w:w="744" w:type="dxa"/>
            <w:vMerge w:val="continue"/>
            <w:vAlign w:val="center"/>
          </w:tcPr>
          <w:p>
            <w:pPr>
              <w:snapToGrid w:val="0"/>
              <w:spacing w:line="240" w:lineRule="auto"/>
              <w:jc w:val="center"/>
              <w:rPr>
                <w:rFonts w:hint="eastAsia" w:ascii="宋体" w:hAnsi="宋体" w:eastAsia="宋体" w:cs="宋体"/>
                <w:color w:val="auto"/>
                <w:sz w:val="18"/>
                <w:szCs w:val="18"/>
                <w:highlight w:val="none"/>
                <w:vertAlign w:val="baseline"/>
                <w:lang w:val="en-US" w:eastAsia="zh-CN"/>
              </w:rPr>
            </w:pPr>
          </w:p>
        </w:tc>
      </w:tr>
    </w:tbl>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bookmarkEnd w:id="0"/>
    <w:p>
      <w:pPr>
        <w:rPr>
          <w:color w:val="auto"/>
          <w:highlight w:val="none"/>
        </w:rPr>
      </w:pPr>
    </w:p>
    <w:sectPr>
      <w:headerReference r:id="rId3" w:type="default"/>
      <w:footerReference r:id="rId4" w:type="default"/>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MTIyNGMzMjllYTg2YjkzODQ3YTJlOGM1NTIwMzM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17DE0"/>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280DE2"/>
    <w:rsid w:val="016F5A53"/>
    <w:rsid w:val="01BB7199"/>
    <w:rsid w:val="01C81635"/>
    <w:rsid w:val="020110AA"/>
    <w:rsid w:val="02020D4E"/>
    <w:rsid w:val="027B37D5"/>
    <w:rsid w:val="028B7029"/>
    <w:rsid w:val="02C73591"/>
    <w:rsid w:val="02D91237"/>
    <w:rsid w:val="03E5141C"/>
    <w:rsid w:val="04DE3380"/>
    <w:rsid w:val="051B7D1D"/>
    <w:rsid w:val="05CA642C"/>
    <w:rsid w:val="06205B52"/>
    <w:rsid w:val="073F4A62"/>
    <w:rsid w:val="076D1CAF"/>
    <w:rsid w:val="082062BB"/>
    <w:rsid w:val="08B34944"/>
    <w:rsid w:val="09514FE3"/>
    <w:rsid w:val="09B27B50"/>
    <w:rsid w:val="09C72F4E"/>
    <w:rsid w:val="09D848E1"/>
    <w:rsid w:val="09F40CC1"/>
    <w:rsid w:val="09FF1FA9"/>
    <w:rsid w:val="0A4E2240"/>
    <w:rsid w:val="0AEA76EF"/>
    <w:rsid w:val="0AF1029B"/>
    <w:rsid w:val="0B7E4269"/>
    <w:rsid w:val="0BE21F59"/>
    <w:rsid w:val="0C6945C1"/>
    <w:rsid w:val="0D0A0F1C"/>
    <w:rsid w:val="0DD94183"/>
    <w:rsid w:val="0DDF48EE"/>
    <w:rsid w:val="0DFE262D"/>
    <w:rsid w:val="0F945A48"/>
    <w:rsid w:val="0FF25A15"/>
    <w:rsid w:val="10221450"/>
    <w:rsid w:val="110B2037"/>
    <w:rsid w:val="13202F76"/>
    <w:rsid w:val="1468250E"/>
    <w:rsid w:val="155A4791"/>
    <w:rsid w:val="159B7958"/>
    <w:rsid w:val="169C4016"/>
    <w:rsid w:val="171D30EC"/>
    <w:rsid w:val="17360EFD"/>
    <w:rsid w:val="18257CB9"/>
    <w:rsid w:val="18D82DEF"/>
    <w:rsid w:val="19217B6C"/>
    <w:rsid w:val="19660093"/>
    <w:rsid w:val="196B73B1"/>
    <w:rsid w:val="1975219A"/>
    <w:rsid w:val="197B5DCD"/>
    <w:rsid w:val="198F308C"/>
    <w:rsid w:val="1A0F382A"/>
    <w:rsid w:val="1A735D7E"/>
    <w:rsid w:val="1B3317C4"/>
    <w:rsid w:val="1BCC3998"/>
    <w:rsid w:val="1BEE3BE6"/>
    <w:rsid w:val="1C497438"/>
    <w:rsid w:val="1DD37FF5"/>
    <w:rsid w:val="1E16738A"/>
    <w:rsid w:val="1F2E2E47"/>
    <w:rsid w:val="20106CB2"/>
    <w:rsid w:val="20125038"/>
    <w:rsid w:val="204260C0"/>
    <w:rsid w:val="208F121F"/>
    <w:rsid w:val="20905657"/>
    <w:rsid w:val="215C6CED"/>
    <w:rsid w:val="218A11DA"/>
    <w:rsid w:val="225C17EC"/>
    <w:rsid w:val="22F22A1F"/>
    <w:rsid w:val="238D5065"/>
    <w:rsid w:val="24EB70F4"/>
    <w:rsid w:val="2516091F"/>
    <w:rsid w:val="25222767"/>
    <w:rsid w:val="2614570C"/>
    <w:rsid w:val="262F1AF6"/>
    <w:rsid w:val="27914D3A"/>
    <w:rsid w:val="27A02D4D"/>
    <w:rsid w:val="27BC4918"/>
    <w:rsid w:val="27E476DE"/>
    <w:rsid w:val="27FF6442"/>
    <w:rsid w:val="282F281A"/>
    <w:rsid w:val="29630A8C"/>
    <w:rsid w:val="29AA0E8A"/>
    <w:rsid w:val="2AB721F8"/>
    <w:rsid w:val="2B28694F"/>
    <w:rsid w:val="2B5D77C6"/>
    <w:rsid w:val="2B742122"/>
    <w:rsid w:val="2BDF26FD"/>
    <w:rsid w:val="2C692C23"/>
    <w:rsid w:val="2D7E5A35"/>
    <w:rsid w:val="2E0A283D"/>
    <w:rsid w:val="2E1A4440"/>
    <w:rsid w:val="2E1A7E2D"/>
    <w:rsid w:val="2E8915B8"/>
    <w:rsid w:val="2FEE6E89"/>
    <w:rsid w:val="303A784B"/>
    <w:rsid w:val="30662A7F"/>
    <w:rsid w:val="3079709D"/>
    <w:rsid w:val="30C334C0"/>
    <w:rsid w:val="30E2356D"/>
    <w:rsid w:val="30FF126C"/>
    <w:rsid w:val="3136544A"/>
    <w:rsid w:val="32685A43"/>
    <w:rsid w:val="32FD0CE1"/>
    <w:rsid w:val="3373223E"/>
    <w:rsid w:val="339D6D05"/>
    <w:rsid w:val="33EF797C"/>
    <w:rsid w:val="348C3F96"/>
    <w:rsid w:val="34C66F68"/>
    <w:rsid w:val="368816E9"/>
    <w:rsid w:val="368D7B3B"/>
    <w:rsid w:val="36C06910"/>
    <w:rsid w:val="36CC2296"/>
    <w:rsid w:val="36D62BE2"/>
    <w:rsid w:val="384F5D11"/>
    <w:rsid w:val="385D19D4"/>
    <w:rsid w:val="395C23CA"/>
    <w:rsid w:val="3A891C5C"/>
    <w:rsid w:val="3B143421"/>
    <w:rsid w:val="3C027E20"/>
    <w:rsid w:val="3C0813E6"/>
    <w:rsid w:val="3CDB52EC"/>
    <w:rsid w:val="3D192610"/>
    <w:rsid w:val="3D694756"/>
    <w:rsid w:val="3DCA1748"/>
    <w:rsid w:val="3E1C6C02"/>
    <w:rsid w:val="3E3F16E6"/>
    <w:rsid w:val="3E7251A4"/>
    <w:rsid w:val="3E980CCF"/>
    <w:rsid w:val="3EDC202E"/>
    <w:rsid w:val="3F2B55C2"/>
    <w:rsid w:val="3FA36C10"/>
    <w:rsid w:val="42394C09"/>
    <w:rsid w:val="42521DD1"/>
    <w:rsid w:val="42B10760"/>
    <w:rsid w:val="42BC283D"/>
    <w:rsid w:val="433832B5"/>
    <w:rsid w:val="433C7611"/>
    <w:rsid w:val="43E915F5"/>
    <w:rsid w:val="445515B4"/>
    <w:rsid w:val="44EB2DBE"/>
    <w:rsid w:val="44EF542A"/>
    <w:rsid w:val="44F06252"/>
    <w:rsid w:val="45040BA4"/>
    <w:rsid w:val="4504286C"/>
    <w:rsid w:val="45730A88"/>
    <w:rsid w:val="459D17E0"/>
    <w:rsid w:val="45CC1560"/>
    <w:rsid w:val="45DE6867"/>
    <w:rsid w:val="467A1BD7"/>
    <w:rsid w:val="46AB5D46"/>
    <w:rsid w:val="46F35BBE"/>
    <w:rsid w:val="47A53DD6"/>
    <w:rsid w:val="47AA6F8D"/>
    <w:rsid w:val="47B55640"/>
    <w:rsid w:val="47DD238F"/>
    <w:rsid w:val="47F92430"/>
    <w:rsid w:val="485845CF"/>
    <w:rsid w:val="488826CB"/>
    <w:rsid w:val="489D01C2"/>
    <w:rsid w:val="48A1490F"/>
    <w:rsid w:val="49095D03"/>
    <w:rsid w:val="49203914"/>
    <w:rsid w:val="4A105FBA"/>
    <w:rsid w:val="4A7E72B3"/>
    <w:rsid w:val="4AD870B9"/>
    <w:rsid w:val="4B1A42E9"/>
    <w:rsid w:val="4B8F6261"/>
    <w:rsid w:val="4C8165DF"/>
    <w:rsid w:val="4CA35F08"/>
    <w:rsid w:val="4CB91D30"/>
    <w:rsid w:val="4CF82CB6"/>
    <w:rsid w:val="4DD42826"/>
    <w:rsid w:val="4E100B12"/>
    <w:rsid w:val="4E5A0963"/>
    <w:rsid w:val="4FCA09F6"/>
    <w:rsid w:val="4FEA1ED0"/>
    <w:rsid w:val="50B30BFE"/>
    <w:rsid w:val="50E05F3B"/>
    <w:rsid w:val="521A43FF"/>
    <w:rsid w:val="521D586D"/>
    <w:rsid w:val="52610E93"/>
    <w:rsid w:val="548449C8"/>
    <w:rsid w:val="54C44D45"/>
    <w:rsid w:val="54C50D8A"/>
    <w:rsid w:val="54DD5342"/>
    <w:rsid w:val="553E5B6B"/>
    <w:rsid w:val="55DC539E"/>
    <w:rsid w:val="56103CAE"/>
    <w:rsid w:val="56CB0A2B"/>
    <w:rsid w:val="58550809"/>
    <w:rsid w:val="588F339B"/>
    <w:rsid w:val="5A5839A7"/>
    <w:rsid w:val="5A7D1C84"/>
    <w:rsid w:val="5AE4105F"/>
    <w:rsid w:val="5BEC7116"/>
    <w:rsid w:val="5E5D237F"/>
    <w:rsid w:val="5EB6652D"/>
    <w:rsid w:val="5ECA6A83"/>
    <w:rsid w:val="5EE97A66"/>
    <w:rsid w:val="5FB32C8F"/>
    <w:rsid w:val="60497370"/>
    <w:rsid w:val="61223CC5"/>
    <w:rsid w:val="62417762"/>
    <w:rsid w:val="62C673FC"/>
    <w:rsid w:val="642E4744"/>
    <w:rsid w:val="64A75E62"/>
    <w:rsid w:val="652735EC"/>
    <w:rsid w:val="6570195B"/>
    <w:rsid w:val="666E3D2B"/>
    <w:rsid w:val="66741E8A"/>
    <w:rsid w:val="66C22101"/>
    <w:rsid w:val="67300C46"/>
    <w:rsid w:val="67CA6313"/>
    <w:rsid w:val="67D509EC"/>
    <w:rsid w:val="685C47AD"/>
    <w:rsid w:val="687436E1"/>
    <w:rsid w:val="68B61B95"/>
    <w:rsid w:val="68EC5143"/>
    <w:rsid w:val="692B7D65"/>
    <w:rsid w:val="6B222BED"/>
    <w:rsid w:val="6B301D81"/>
    <w:rsid w:val="6B4730F9"/>
    <w:rsid w:val="6BC24DA0"/>
    <w:rsid w:val="6C862716"/>
    <w:rsid w:val="6D1F5D41"/>
    <w:rsid w:val="6D4C3D11"/>
    <w:rsid w:val="6E4806AE"/>
    <w:rsid w:val="6E5C32AB"/>
    <w:rsid w:val="6F5A3DB5"/>
    <w:rsid w:val="6F7377A7"/>
    <w:rsid w:val="702B57EE"/>
    <w:rsid w:val="704936A5"/>
    <w:rsid w:val="706E6DF3"/>
    <w:rsid w:val="709C4221"/>
    <w:rsid w:val="718B3D00"/>
    <w:rsid w:val="71CB1AC1"/>
    <w:rsid w:val="71FD0076"/>
    <w:rsid w:val="731930F2"/>
    <w:rsid w:val="7438794A"/>
    <w:rsid w:val="75AE2CF0"/>
    <w:rsid w:val="76155B22"/>
    <w:rsid w:val="76972C8C"/>
    <w:rsid w:val="77B971CE"/>
    <w:rsid w:val="787C42EA"/>
    <w:rsid w:val="79C43E9B"/>
    <w:rsid w:val="7A220B52"/>
    <w:rsid w:val="7A8228B1"/>
    <w:rsid w:val="7A852679"/>
    <w:rsid w:val="7B45064F"/>
    <w:rsid w:val="7B543277"/>
    <w:rsid w:val="7E1A2770"/>
    <w:rsid w:val="7E520A23"/>
    <w:rsid w:val="7E7B5A9E"/>
    <w:rsid w:val="7F8A72F7"/>
    <w:rsid w:val="7FED1E68"/>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0"/>
    <w:pPr>
      <w:keepNext/>
      <w:keepLines/>
      <w:spacing w:before="260" w:after="260" w:line="416" w:lineRule="auto"/>
      <w:outlineLvl w:val="2"/>
    </w:pPr>
    <w:rPr>
      <w:b/>
      <w:bCs/>
      <w:sz w:val="32"/>
      <w:szCs w:val="32"/>
    </w:rPr>
  </w:style>
  <w:style w:type="paragraph" w:styleId="6">
    <w:name w:val="heading 4"/>
    <w:basedOn w:val="1"/>
    <w:next w:val="1"/>
    <w:link w:val="66"/>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7"/>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8"/>
    <w:qFormat/>
    <w:uiPriority w:val="0"/>
    <w:pPr>
      <w:keepNext/>
      <w:keepLines/>
      <w:ind w:firstLine="200" w:firstLineChars="200"/>
      <w:outlineLvl w:val="5"/>
    </w:pPr>
    <w:rPr>
      <w:rFonts w:hAnsi="Arial"/>
    </w:rPr>
  </w:style>
  <w:style w:type="paragraph" w:styleId="11">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2"/>
    <w:qFormat/>
    <w:uiPriority w:val="0"/>
    <w:pPr>
      <w:spacing w:after="120"/>
    </w:pPr>
  </w:style>
  <w:style w:type="paragraph" w:styleId="9">
    <w:name w:val="Normal Indent"/>
    <w:basedOn w:val="10"/>
    <w:qFormat/>
    <w:uiPriority w:val="0"/>
    <w:pPr>
      <w:adjustRightInd w:val="0"/>
      <w:spacing w:line="480" w:lineRule="atLeast"/>
      <w:ind w:firstLine="600"/>
      <w:textAlignment w:val="baseline"/>
    </w:pPr>
    <w:rPr>
      <w:rFonts w:eastAsia="仿宋_GB2312"/>
      <w:kern w:val="0"/>
      <w:sz w:val="30"/>
      <w:szCs w:val="20"/>
    </w:rPr>
  </w:style>
  <w:style w:type="paragraph" w:styleId="10">
    <w:name w:val="Balloon Text"/>
    <w:basedOn w:val="2"/>
    <w:link w:val="81"/>
    <w:qFormat/>
    <w:uiPriority w:val="99"/>
    <w:rPr>
      <w:sz w:val="18"/>
      <w:szCs w:val="18"/>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3"/>
    <w:qFormat/>
    <w:uiPriority w:val="0"/>
    <w:pPr>
      <w:shd w:val="clear" w:color="auto" w:fill="000080"/>
    </w:pPr>
  </w:style>
  <w:style w:type="paragraph" w:styleId="17">
    <w:name w:val="annotation text"/>
    <w:basedOn w:val="1"/>
    <w:link w:val="74"/>
    <w:qFormat/>
    <w:uiPriority w:val="0"/>
    <w:pPr>
      <w:jc w:val="left"/>
    </w:pPr>
  </w:style>
  <w:style w:type="paragraph" w:styleId="18">
    <w:name w:val="Body Text 3"/>
    <w:basedOn w:val="1"/>
    <w:link w:val="75"/>
    <w:qFormat/>
    <w:uiPriority w:val="0"/>
    <w:pPr>
      <w:spacing w:after="120"/>
    </w:pPr>
    <w:rPr>
      <w:sz w:val="16"/>
      <w:szCs w:val="16"/>
    </w:rPr>
  </w:style>
  <w:style w:type="paragraph" w:styleId="19">
    <w:name w:val="Body Text Indent"/>
    <w:basedOn w:val="1"/>
    <w:link w:val="76"/>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77"/>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8"/>
    <w:qFormat/>
    <w:uiPriority w:val="99"/>
    <w:pPr>
      <w:ind w:left="100" w:leftChars="2500"/>
    </w:pPr>
  </w:style>
  <w:style w:type="paragraph" w:styleId="27">
    <w:name w:val="Body Text Indent 2"/>
    <w:basedOn w:val="1"/>
    <w:link w:val="79"/>
    <w:qFormat/>
    <w:uiPriority w:val="0"/>
    <w:pPr>
      <w:widowControl/>
      <w:spacing w:line="480" w:lineRule="auto"/>
      <w:ind w:firstLine="560"/>
      <w:jc w:val="left"/>
    </w:pPr>
    <w:rPr>
      <w:kern w:val="0"/>
      <w:sz w:val="28"/>
    </w:rPr>
  </w:style>
  <w:style w:type="paragraph" w:styleId="28">
    <w:name w:val="endnote text"/>
    <w:basedOn w:val="1"/>
    <w:link w:val="80"/>
    <w:qFormat/>
    <w:uiPriority w:val="0"/>
    <w:pPr>
      <w:widowControl/>
      <w:snapToGrid w:val="0"/>
      <w:jc w:val="left"/>
    </w:pPr>
    <w:rPr>
      <w:rFonts w:ascii="Arial" w:hAnsi="Arial" w:cs="Arial"/>
      <w:kern w:val="0"/>
      <w:sz w:val="20"/>
      <w:lang w:eastAsia="en-US"/>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4"/>
    <w:qFormat/>
    <w:uiPriority w:val="0"/>
    <w:pPr>
      <w:widowControl/>
      <w:jc w:val="center"/>
    </w:pPr>
    <w:rPr>
      <w:kern w:val="0"/>
      <w:sz w:val="20"/>
      <w:u w:val="single"/>
      <w:lang w:eastAsia="en-US"/>
    </w:rPr>
  </w:style>
  <w:style w:type="paragraph" w:styleId="34">
    <w:name w:val="footnote text"/>
    <w:basedOn w:val="1"/>
    <w:link w:val="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6"/>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7"/>
    <w:qFormat/>
    <w:uiPriority w:val="0"/>
    <w:rPr>
      <w:i/>
      <w:iCs/>
      <w:sz w:val="26"/>
    </w:rPr>
  </w:style>
  <w:style w:type="paragraph" w:styleId="40">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9"/>
    <w:qFormat/>
    <w:uiPriority w:val="0"/>
    <w:pPr>
      <w:widowControl/>
      <w:jc w:val="center"/>
    </w:pPr>
    <w:rPr>
      <w:kern w:val="0"/>
      <w:sz w:val="20"/>
      <w:u w:val="single"/>
      <w:lang w:eastAsia="en-US"/>
    </w:rPr>
  </w:style>
  <w:style w:type="paragraph" w:styleId="44">
    <w:name w:val="annotation subject"/>
    <w:basedOn w:val="17"/>
    <w:next w:val="17"/>
    <w:link w:val="90"/>
    <w:qFormat/>
    <w:uiPriority w:val="99"/>
    <w:rPr>
      <w:b/>
      <w:bCs/>
    </w:rPr>
  </w:style>
  <w:style w:type="paragraph" w:styleId="45">
    <w:name w:val="Body Text First Indent 2"/>
    <w:basedOn w:val="19"/>
    <w:next w:val="1"/>
    <w:qFormat/>
    <w:uiPriority w:val="0"/>
    <w:pPr>
      <w:spacing w:after="120"/>
      <w:ind w:left="420" w:leftChars="200" w:firstLine="420"/>
    </w:pPr>
    <w:rPr>
      <w:szCs w:val="20"/>
    </w:rPr>
  </w:style>
  <w:style w:type="table" w:styleId="47">
    <w:name w:val="Table Grid"/>
    <w:basedOn w:val="4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Variable"/>
    <w:basedOn w:val="48"/>
    <w:unhideWhenUsed/>
    <w:qFormat/>
    <w:uiPriority w:val="99"/>
  </w:style>
  <w:style w:type="character" w:styleId="56">
    <w:name w:val="Hyperlink"/>
    <w:qFormat/>
    <w:uiPriority w:val="99"/>
    <w:rPr>
      <w:color w:val="0000FF"/>
      <w:u w:val="single"/>
    </w:rPr>
  </w:style>
  <w:style w:type="character" w:styleId="57">
    <w:name w:val="HTML Code"/>
    <w:basedOn w:val="48"/>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basedOn w:val="48"/>
    <w:unhideWhenUsed/>
    <w:qFormat/>
    <w:uiPriority w:val="99"/>
  </w:style>
  <w:style w:type="character" w:styleId="60">
    <w:name w:val="footnote reference"/>
    <w:qFormat/>
    <w:uiPriority w:val="0"/>
    <w:rPr>
      <w:vertAlign w:val="superscript"/>
    </w:rPr>
  </w:style>
  <w:style w:type="paragraph" w:customStyle="1" w:styleId="61">
    <w:name w:val="正文会展"/>
    <w:basedOn w:val="1"/>
    <w:qFormat/>
    <w:uiPriority w:val="0"/>
    <w:pPr>
      <w:ind w:firstLine="480"/>
    </w:pPr>
    <w:rPr>
      <w:rFonts w:ascii="宋体" w:hAnsi="宋体" w:eastAsia="宋体"/>
      <w:sz w:val="20"/>
      <w:szCs w:val="20"/>
    </w:rPr>
  </w:style>
  <w:style w:type="character" w:customStyle="1" w:styleId="62">
    <w:name w:val="标题 3 Char"/>
    <w:qFormat/>
    <w:uiPriority w:val="0"/>
    <w:rPr>
      <w:rFonts w:ascii="仿宋_GB2312" w:hAnsi="Calibri" w:eastAsia="仿宋_GB2312" w:cs="Times New Roman"/>
      <w:b/>
      <w:kern w:val="0"/>
      <w:sz w:val="24"/>
      <w:szCs w:val="28"/>
    </w:rPr>
  </w:style>
  <w:style w:type="character" w:customStyle="1" w:styleId="63">
    <w:name w:val="标题 1 Char2"/>
    <w:basedOn w:val="48"/>
    <w:link w:val="3"/>
    <w:qFormat/>
    <w:uiPriority w:val="9"/>
    <w:rPr>
      <w:rFonts w:ascii="Times New Roman" w:hAnsi="Times New Roman" w:eastAsia="宋体" w:cs="Times New Roman"/>
      <w:b/>
      <w:bCs/>
      <w:kern w:val="44"/>
      <w:sz w:val="44"/>
      <w:szCs w:val="44"/>
    </w:rPr>
  </w:style>
  <w:style w:type="character" w:customStyle="1" w:styleId="64">
    <w:name w:val="标题 2 Char2"/>
    <w:basedOn w:val="48"/>
    <w:link w:val="4"/>
    <w:qFormat/>
    <w:uiPriority w:val="9"/>
    <w:rPr>
      <w:rFonts w:ascii="Cambria" w:hAnsi="Cambria" w:eastAsia="宋体" w:cs="Times New Roman"/>
      <w:b/>
      <w:bCs/>
      <w:sz w:val="32"/>
      <w:szCs w:val="32"/>
    </w:rPr>
  </w:style>
  <w:style w:type="character" w:customStyle="1" w:styleId="65">
    <w:name w:val="标题 3 Char2"/>
    <w:basedOn w:val="48"/>
    <w:link w:val="5"/>
    <w:qFormat/>
    <w:uiPriority w:val="0"/>
    <w:rPr>
      <w:rFonts w:ascii="Times New Roman" w:hAnsi="Times New Roman" w:eastAsia="宋体" w:cs="Times New Roman"/>
      <w:b/>
      <w:bCs/>
      <w:sz w:val="32"/>
      <w:szCs w:val="32"/>
    </w:rPr>
  </w:style>
  <w:style w:type="character" w:customStyle="1" w:styleId="66">
    <w:name w:val="标题 4 Char2"/>
    <w:basedOn w:val="48"/>
    <w:link w:val="6"/>
    <w:qFormat/>
    <w:uiPriority w:val="0"/>
    <w:rPr>
      <w:rFonts w:ascii="宋体" w:hAnsi="宋体" w:eastAsia="宋体" w:cs="宋体"/>
      <w:b/>
      <w:bCs/>
      <w:kern w:val="0"/>
      <w:sz w:val="24"/>
      <w:szCs w:val="24"/>
    </w:rPr>
  </w:style>
  <w:style w:type="character" w:customStyle="1" w:styleId="67">
    <w:name w:val="标题 5 Char2"/>
    <w:basedOn w:val="48"/>
    <w:link w:val="7"/>
    <w:qFormat/>
    <w:uiPriority w:val="0"/>
    <w:rPr>
      <w:rFonts w:ascii="宋体" w:hAnsi="宋体" w:eastAsia="宋体" w:cs="宋体"/>
      <w:b/>
      <w:bCs/>
      <w:kern w:val="0"/>
      <w:sz w:val="20"/>
      <w:szCs w:val="20"/>
    </w:rPr>
  </w:style>
  <w:style w:type="character" w:customStyle="1" w:styleId="68">
    <w:name w:val="标题 6 Char2"/>
    <w:basedOn w:val="48"/>
    <w:link w:val="8"/>
    <w:qFormat/>
    <w:uiPriority w:val="0"/>
    <w:rPr>
      <w:rFonts w:ascii="Times New Roman" w:hAnsi="Arial" w:eastAsia="仿宋_GB2312" w:cs="Times New Roman"/>
      <w:kern w:val="0"/>
      <w:sz w:val="30"/>
      <w:szCs w:val="20"/>
    </w:rPr>
  </w:style>
  <w:style w:type="character" w:customStyle="1" w:styleId="69">
    <w:name w:val="标题 7 Char2"/>
    <w:basedOn w:val="48"/>
    <w:link w:val="11"/>
    <w:qFormat/>
    <w:uiPriority w:val="0"/>
    <w:rPr>
      <w:rFonts w:ascii="Times New Roman" w:hAnsi="Times New Roman" w:eastAsia="仿宋_GB2312" w:cs="Times New Roman"/>
      <w:kern w:val="0"/>
      <w:sz w:val="30"/>
      <w:szCs w:val="20"/>
    </w:rPr>
  </w:style>
  <w:style w:type="character" w:customStyle="1" w:styleId="70">
    <w:name w:val="标题 8 Char2"/>
    <w:basedOn w:val="48"/>
    <w:link w:val="12"/>
    <w:qFormat/>
    <w:uiPriority w:val="0"/>
    <w:rPr>
      <w:rFonts w:ascii="Times New Roman" w:hAnsi="Arial" w:eastAsia="仿宋_GB2312" w:cs="Times New Roman"/>
      <w:kern w:val="0"/>
      <w:sz w:val="30"/>
      <w:szCs w:val="20"/>
    </w:rPr>
  </w:style>
  <w:style w:type="character" w:customStyle="1" w:styleId="71">
    <w:name w:val="标题 9 Char2"/>
    <w:basedOn w:val="48"/>
    <w:link w:val="13"/>
    <w:qFormat/>
    <w:uiPriority w:val="0"/>
    <w:rPr>
      <w:rFonts w:ascii="Times New Roman" w:hAnsi="Times New Roman" w:eastAsia="仿宋_GB2312" w:cs="Times New Roman"/>
      <w:kern w:val="0"/>
      <w:sz w:val="30"/>
      <w:szCs w:val="20"/>
    </w:rPr>
  </w:style>
  <w:style w:type="character" w:customStyle="1" w:styleId="72">
    <w:name w:val="正文文本 Char4"/>
    <w:basedOn w:val="48"/>
    <w:link w:val="2"/>
    <w:qFormat/>
    <w:uiPriority w:val="0"/>
    <w:rPr>
      <w:rFonts w:ascii="Times New Roman" w:hAnsi="Times New Roman" w:eastAsia="宋体" w:cs="Times New Roman"/>
      <w:szCs w:val="24"/>
    </w:rPr>
  </w:style>
  <w:style w:type="character" w:customStyle="1" w:styleId="73">
    <w:name w:val="文档结构图 Char4"/>
    <w:basedOn w:val="48"/>
    <w:link w:val="16"/>
    <w:qFormat/>
    <w:uiPriority w:val="0"/>
    <w:rPr>
      <w:rFonts w:ascii="Times New Roman" w:hAnsi="Times New Roman" w:eastAsia="宋体" w:cs="Times New Roman"/>
      <w:szCs w:val="24"/>
      <w:shd w:val="clear" w:color="auto" w:fill="000080"/>
    </w:rPr>
  </w:style>
  <w:style w:type="character" w:customStyle="1" w:styleId="74">
    <w:name w:val="批注文字 Char3"/>
    <w:basedOn w:val="48"/>
    <w:link w:val="17"/>
    <w:qFormat/>
    <w:uiPriority w:val="0"/>
    <w:rPr>
      <w:rFonts w:ascii="Times New Roman" w:hAnsi="Times New Roman" w:eastAsia="宋体" w:cs="Times New Roman"/>
      <w:szCs w:val="24"/>
    </w:rPr>
  </w:style>
  <w:style w:type="character" w:customStyle="1" w:styleId="75">
    <w:name w:val="正文文本 3 Char3"/>
    <w:basedOn w:val="48"/>
    <w:link w:val="18"/>
    <w:qFormat/>
    <w:uiPriority w:val="0"/>
    <w:rPr>
      <w:rFonts w:ascii="Times New Roman" w:hAnsi="Times New Roman" w:eastAsia="宋体" w:cs="Times New Roman"/>
      <w:sz w:val="16"/>
      <w:szCs w:val="16"/>
    </w:rPr>
  </w:style>
  <w:style w:type="character" w:customStyle="1" w:styleId="76">
    <w:name w:val="正文文本缩进 Char3"/>
    <w:basedOn w:val="48"/>
    <w:link w:val="19"/>
    <w:qFormat/>
    <w:uiPriority w:val="0"/>
    <w:rPr>
      <w:rFonts w:ascii="Times New Roman" w:hAnsi="Times New Roman" w:eastAsia="宋体" w:cs="Times New Roman"/>
      <w:szCs w:val="24"/>
    </w:rPr>
  </w:style>
  <w:style w:type="character" w:customStyle="1" w:styleId="77">
    <w:name w:val="纯文本 Char3"/>
    <w:basedOn w:val="48"/>
    <w:link w:val="24"/>
    <w:qFormat/>
    <w:uiPriority w:val="0"/>
    <w:rPr>
      <w:rFonts w:ascii="宋体" w:hAnsi="Courier New" w:eastAsia="宋体" w:cs="Courier New"/>
      <w:szCs w:val="21"/>
    </w:rPr>
  </w:style>
  <w:style w:type="character" w:customStyle="1" w:styleId="78">
    <w:name w:val="日期 Char4"/>
    <w:basedOn w:val="48"/>
    <w:link w:val="26"/>
    <w:qFormat/>
    <w:uiPriority w:val="99"/>
    <w:rPr>
      <w:rFonts w:ascii="Times New Roman" w:hAnsi="Times New Roman" w:eastAsia="宋体" w:cs="Times New Roman"/>
      <w:szCs w:val="24"/>
    </w:rPr>
  </w:style>
  <w:style w:type="character" w:customStyle="1" w:styleId="79">
    <w:name w:val="正文文本缩进 2 Char3"/>
    <w:basedOn w:val="48"/>
    <w:link w:val="27"/>
    <w:qFormat/>
    <w:uiPriority w:val="0"/>
    <w:rPr>
      <w:rFonts w:ascii="Times New Roman" w:hAnsi="Times New Roman" w:eastAsia="宋体" w:cs="Times New Roman"/>
      <w:kern w:val="0"/>
      <w:sz w:val="28"/>
      <w:szCs w:val="24"/>
    </w:rPr>
  </w:style>
  <w:style w:type="character" w:customStyle="1" w:styleId="80">
    <w:name w:val="尾注文本 Char3"/>
    <w:basedOn w:val="48"/>
    <w:link w:val="28"/>
    <w:qFormat/>
    <w:uiPriority w:val="0"/>
    <w:rPr>
      <w:rFonts w:ascii="Arial" w:hAnsi="Arial" w:eastAsia="宋体" w:cs="Arial"/>
      <w:kern w:val="0"/>
      <w:sz w:val="20"/>
      <w:szCs w:val="24"/>
      <w:lang w:eastAsia="en-US"/>
    </w:rPr>
  </w:style>
  <w:style w:type="character" w:customStyle="1" w:styleId="81">
    <w:name w:val="批注框文本 Char4"/>
    <w:basedOn w:val="48"/>
    <w:link w:val="10"/>
    <w:qFormat/>
    <w:uiPriority w:val="99"/>
    <w:rPr>
      <w:rFonts w:ascii="Times New Roman" w:hAnsi="Times New Roman" w:eastAsia="宋体" w:cs="Times New Roman"/>
      <w:sz w:val="18"/>
      <w:szCs w:val="18"/>
    </w:rPr>
  </w:style>
  <w:style w:type="character" w:customStyle="1" w:styleId="82">
    <w:name w:val="页脚 Char2"/>
    <w:basedOn w:val="48"/>
    <w:link w:val="29"/>
    <w:qFormat/>
    <w:uiPriority w:val="99"/>
    <w:rPr>
      <w:rFonts w:ascii="Times New Roman" w:hAnsi="Times New Roman" w:eastAsia="宋体" w:cs="Times New Roman"/>
      <w:sz w:val="18"/>
      <w:szCs w:val="18"/>
    </w:rPr>
  </w:style>
  <w:style w:type="character" w:customStyle="1" w:styleId="83">
    <w:name w:val="页眉 Char2"/>
    <w:basedOn w:val="48"/>
    <w:link w:val="30"/>
    <w:qFormat/>
    <w:uiPriority w:val="99"/>
    <w:rPr>
      <w:rFonts w:ascii="Times New Roman" w:hAnsi="Times New Roman" w:eastAsia="宋体" w:cs="Times New Roman"/>
      <w:sz w:val="18"/>
      <w:szCs w:val="18"/>
    </w:rPr>
  </w:style>
  <w:style w:type="character" w:customStyle="1" w:styleId="84">
    <w:name w:val="副标题 Char3"/>
    <w:basedOn w:val="48"/>
    <w:link w:val="33"/>
    <w:qFormat/>
    <w:uiPriority w:val="0"/>
    <w:rPr>
      <w:rFonts w:ascii="Times New Roman" w:hAnsi="Times New Roman" w:eastAsia="宋体" w:cs="Times New Roman"/>
      <w:kern w:val="0"/>
      <w:sz w:val="20"/>
      <w:szCs w:val="24"/>
      <w:u w:val="single"/>
      <w:lang w:eastAsia="en-US"/>
    </w:rPr>
  </w:style>
  <w:style w:type="character" w:customStyle="1" w:styleId="85">
    <w:name w:val="脚注文本 Char3"/>
    <w:basedOn w:val="48"/>
    <w:link w:val="34"/>
    <w:qFormat/>
    <w:uiPriority w:val="0"/>
    <w:rPr>
      <w:rFonts w:ascii="Arial" w:hAnsi="Arial" w:eastAsia="宋体" w:cs="Arial"/>
      <w:kern w:val="0"/>
      <w:sz w:val="18"/>
      <w:szCs w:val="18"/>
      <w:lang w:eastAsia="en-US"/>
    </w:rPr>
  </w:style>
  <w:style w:type="character" w:customStyle="1" w:styleId="86">
    <w:name w:val="正文文本缩进 3 Char3"/>
    <w:basedOn w:val="48"/>
    <w:link w:val="36"/>
    <w:qFormat/>
    <w:uiPriority w:val="0"/>
    <w:rPr>
      <w:rFonts w:ascii="宋体" w:hAnsi="宋体" w:eastAsia="宋体" w:cs="Times New Roman"/>
      <w:sz w:val="28"/>
      <w:szCs w:val="28"/>
    </w:rPr>
  </w:style>
  <w:style w:type="character" w:customStyle="1" w:styleId="87">
    <w:name w:val="正文文本 2 Char"/>
    <w:basedOn w:val="48"/>
    <w:link w:val="39"/>
    <w:qFormat/>
    <w:uiPriority w:val="0"/>
    <w:rPr>
      <w:rFonts w:ascii="Times New Roman" w:hAnsi="Times New Roman" w:eastAsia="宋体" w:cs="Times New Roman"/>
      <w:i/>
      <w:iCs/>
      <w:sz w:val="26"/>
      <w:szCs w:val="24"/>
    </w:rPr>
  </w:style>
  <w:style w:type="character" w:customStyle="1" w:styleId="88">
    <w:name w:val="HTML 预设格式 Char3"/>
    <w:basedOn w:val="48"/>
    <w:link w:val="40"/>
    <w:qFormat/>
    <w:uiPriority w:val="0"/>
    <w:rPr>
      <w:rFonts w:ascii="宋体" w:hAnsi="宋体" w:eastAsia="宋体" w:cs="宋体"/>
      <w:color w:val="000000"/>
      <w:kern w:val="0"/>
      <w:sz w:val="24"/>
      <w:szCs w:val="24"/>
    </w:rPr>
  </w:style>
  <w:style w:type="character" w:customStyle="1" w:styleId="89">
    <w:name w:val="标题 Char3"/>
    <w:basedOn w:val="48"/>
    <w:link w:val="43"/>
    <w:qFormat/>
    <w:uiPriority w:val="0"/>
    <w:rPr>
      <w:rFonts w:ascii="Times New Roman" w:hAnsi="Times New Roman" w:eastAsia="宋体" w:cs="Times New Roman"/>
      <w:kern w:val="0"/>
      <w:sz w:val="20"/>
      <w:szCs w:val="24"/>
      <w:u w:val="single"/>
      <w:lang w:eastAsia="en-US"/>
    </w:rPr>
  </w:style>
  <w:style w:type="character" w:customStyle="1" w:styleId="90">
    <w:name w:val="批注主题 Char4"/>
    <w:basedOn w:val="74"/>
    <w:link w:val="44"/>
    <w:qFormat/>
    <w:uiPriority w:val="99"/>
    <w:rPr>
      <w:rFonts w:ascii="Times New Roman" w:hAnsi="Times New Roman" w:eastAsia="宋体" w:cs="Times New Roman"/>
      <w:b/>
      <w:bCs/>
      <w:szCs w:val="24"/>
    </w:rPr>
  </w:style>
  <w:style w:type="paragraph" w:customStyle="1" w:styleId="91">
    <w:name w:val="列出段落1"/>
    <w:basedOn w:val="1"/>
    <w:qFormat/>
    <w:uiPriority w:val="99"/>
    <w:pPr>
      <w:ind w:firstLine="420" w:firstLineChars="200"/>
    </w:pPr>
    <w:rPr>
      <w:sz w:val="28"/>
      <w:szCs w:val="28"/>
    </w:rPr>
  </w:style>
  <w:style w:type="paragraph" w:customStyle="1" w:styleId="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3">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列表段落1"/>
    <w:basedOn w:val="1"/>
    <w:qFormat/>
    <w:uiPriority w:val="34"/>
    <w:pPr>
      <w:ind w:firstLine="420" w:firstLineChars="200"/>
    </w:pPr>
    <w:rPr>
      <w:rFonts w:ascii="Calibri" w:hAnsi="Calibri"/>
    </w:rPr>
  </w:style>
  <w:style w:type="paragraph" w:customStyle="1" w:styleId="98">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9">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0">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1">
    <w:name w:val="TOC 标题2"/>
    <w:basedOn w:val="3"/>
    <w:next w:val="1"/>
    <w:unhideWhenUsed/>
    <w:qFormat/>
    <w:uiPriority w:val="0"/>
    <w:pPr>
      <w:outlineLvl w:val="9"/>
    </w:pPr>
    <w:rPr>
      <w:rFonts w:ascii="Calibri" w:hAnsi="Calibri"/>
    </w:rPr>
  </w:style>
  <w:style w:type="paragraph" w:customStyle="1" w:styleId="102">
    <w:name w:val="样式1"/>
    <w:basedOn w:val="1"/>
    <w:next w:val="6"/>
    <w:qFormat/>
    <w:uiPriority w:val="0"/>
    <w:pPr>
      <w:spacing w:line="360" w:lineRule="auto"/>
      <w:ind w:firstLine="420" w:firstLineChars="200"/>
    </w:pPr>
    <w:rPr>
      <w:rFonts w:ascii="宋体" w:hAnsi="宋体"/>
      <w:szCs w:val="21"/>
    </w:rPr>
  </w:style>
  <w:style w:type="paragraph" w:customStyle="1" w:styleId="103">
    <w:name w:val="列出段落111"/>
    <w:basedOn w:val="1"/>
    <w:qFormat/>
    <w:uiPriority w:val="0"/>
    <w:pPr>
      <w:ind w:firstLine="420" w:firstLineChars="200"/>
    </w:pPr>
    <w:rPr>
      <w:sz w:val="28"/>
      <w:szCs w:val="28"/>
    </w:rPr>
  </w:style>
  <w:style w:type="paragraph" w:customStyle="1" w:styleId="10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5">
    <w:name w:val="pa-27"/>
    <w:basedOn w:val="1"/>
    <w:qFormat/>
    <w:uiPriority w:val="0"/>
    <w:pPr>
      <w:widowControl/>
      <w:spacing w:line="360" w:lineRule="atLeast"/>
      <w:ind w:firstLine="420"/>
    </w:pPr>
    <w:rPr>
      <w:rFonts w:ascii="宋体" w:hAnsi="宋体" w:cs="宋体"/>
      <w:kern w:val="0"/>
      <w:sz w:val="24"/>
    </w:rPr>
  </w:style>
  <w:style w:type="paragraph" w:customStyle="1" w:styleId="106">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9">
    <w:name w:val="Char Char Char Char"/>
    <w:basedOn w:val="16"/>
    <w:qFormat/>
    <w:uiPriority w:val="0"/>
    <w:pPr>
      <w:spacing w:line="360" w:lineRule="auto"/>
      <w:ind w:firstLine="200" w:firstLineChars="200"/>
    </w:pPr>
    <w:rPr>
      <w:rFonts w:ascii="Tahoma" w:hAnsi="Tahoma"/>
      <w:sz w:val="24"/>
    </w:rPr>
  </w:style>
  <w:style w:type="paragraph" w:customStyle="1" w:styleId="110">
    <w:name w:val="表格内容"/>
    <w:basedOn w:val="1"/>
    <w:qFormat/>
    <w:uiPriority w:val="0"/>
    <w:pPr>
      <w:suppressLineNumbers/>
      <w:suppressAutoHyphens/>
    </w:pPr>
  </w:style>
  <w:style w:type="paragraph" w:customStyle="1" w:styleId="11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3">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4">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5">
    <w:name w:val="明显引用 Char4"/>
    <w:basedOn w:val="48"/>
    <w:link w:val="114"/>
    <w:qFormat/>
    <w:uiPriority w:val="0"/>
    <w:rPr>
      <w:rFonts w:ascii="Times New Roman" w:hAnsi="Times New Roman" w:eastAsia="宋体" w:cs="Times New Roman"/>
      <w:b/>
      <w:bCs/>
      <w:i/>
      <w:iCs/>
      <w:color w:val="4F81BD"/>
    </w:rPr>
  </w:style>
  <w:style w:type="paragraph" w:customStyle="1" w:styleId="116">
    <w:name w:val="表体"/>
    <w:basedOn w:val="1"/>
    <w:next w:val="1"/>
    <w:qFormat/>
    <w:uiPriority w:val="0"/>
    <w:pPr>
      <w:spacing w:line="0" w:lineRule="atLeast"/>
    </w:pPr>
    <w:rPr>
      <w:rFonts w:ascii="Calibri" w:hAnsi="Calibri"/>
      <w:b/>
      <w:snapToGrid w:val="0"/>
      <w:szCs w:val="20"/>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8">
    <w:name w:val="pa-34"/>
    <w:basedOn w:val="1"/>
    <w:qFormat/>
    <w:uiPriority w:val="0"/>
    <w:pPr>
      <w:widowControl/>
      <w:spacing w:line="360" w:lineRule="atLeast"/>
      <w:ind w:firstLine="420"/>
      <w:jc w:val="left"/>
    </w:pPr>
    <w:rPr>
      <w:rFonts w:ascii="宋体" w:hAnsi="宋体" w:cs="宋体"/>
      <w:kern w:val="0"/>
      <w:sz w:val="24"/>
    </w:rPr>
  </w:style>
  <w:style w:type="paragraph" w:customStyle="1" w:styleId="119">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1">
    <w:name w:val="p16"/>
    <w:basedOn w:val="1"/>
    <w:qFormat/>
    <w:uiPriority w:val="0"/>
    <w:pPr>
      <w:widowControl/>
    </w:pPr>
    <w:rPr>
      <w:rFonts w:ascii="Calibri" w:hAnsi="Calibri" w:cs="宋体"/>
      <w:kern w:val="0"/>
      <w:szCs w:val="21"/>
    </w:rPr>
  </w:style>
  <w:style w:type="paragraph" w:customStyle="1" w:styleId="1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5">
    <w:name w:val="标题4"/>
    <w:basedOn w:val="4"/>
    <w:next w:val="21"/>
    <w:link w:val="298"/>
    <w:qFormat/>
    <w:uiPriority w:val="0"/>
    <w:pPr>
      <w:spacing w:line="413" w:lineRule="auto"/>
    </w:pPr>
    <w:rPr>
      <w:rFonts w:ascii="Arial" w:hAnsi="Arial"/>
      <w:kern w:val="0"/>
      <w:sz w:val="24"/>
    </w:rPr>
  </w:style>
  <w:style w:type="paragraph" w:customStyle="1" w:styleId="126">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9">
    <w:name w:val="WW-表格内容"/>
    <w:basedOn w:val="1"/>
    <w:qFormat/>
    <w:uiPriority w:val="0"/>
    <w:pPr>
      <w:suppressLineNumbers/>
      <w:suppressAutoHyphens/>
    </w:pPr>
  </w:style>
  <w:style w:type="paragraph" w:customStyle="1" w:styleId="130">
    <w:name w:val="Char"/>
    <w:basedOn w:val="1"/>
    <w:qFormat/>
    <w:uiPriority w:val="0"/>
  </w:style>
  <w:style w:type="paragraph" w:customStyle="1" w:styleId="131">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2">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3">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4">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5">
    <w:name w:val="Char9 Char Char Char Char Char Char"/>
    <w:basedOn w:val="16"/>
    <w:qFormat/>
    <w:uiPriority w:val="0"/>
    <w:pPr>
      <w:spacing w:line="360" w:lineRule="auto"/>
      <w:ind w:firstLine="200" w:firstLineChars="200"/>
    </w:pPr>
    <w:rPr>
      <w:rFonts w:ascii="Tahoma" w:hAnsi="Tahoma"/>
      <w:sz w:val="24"/>
    </w:rPr>
  </w:style>
  <w:style w:type="paragraph" w:customStyle="1" w:styleId="13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List Paragraph"/>
    <w:basedOn w:val="139"/>
    <w:qFormat/>
    <w:uiPriority w:val="1"/>
    <w:pPr>
      <w:ind w:left="100" w:firstLine="420"/>
    </w:pPr>
    <w:rPr>
      <w:rFonts w:ascii="宋体" w:hAnsi="宋体" w:eastAsia="宋体" w:cs="宋体"/>
    </w:rPr>
  </w:style>
  <w:style w:type="paragraph" w:customStyle="1" w:styleId="139">
    <w:name w:val="五级条标题"/>
    <w:basedOn w:val="140"/>
    <w:next w:val="140"/>
    <w:qFormat/>
    <w:uiPriority w:val="0"/>
    <w:pPr>
      <w:outlineLvl w:val="6"/>
    </w:pPr>
  </w:style>
  <w:style w:type="paragraph" w:customStyle="1" w:styleId="140">
    <w:name w:val="章标题"/>
    <w:next w:val="141"/>
    <w:qFormat/>
    <w:uiPriority w:val="0"/>
    <w:pPr>
      <w:jc w:val="both"/>
      <w:outlineLvl w:val="1"/>
    </w:pPr>
    <w:rPr>
      <w:rFonts w:ascii="黑体" w:hAnsi="黑体" w:eastAsia="黑体" w:cs="Times New Roman"/>
      <w:kern w:val="1"/>
      <w:sz w:val="21"/>
      <w:lang w:val="en-US" w:eastAsia="zh-CN" w:bidi="ar-SA"/>
    </w:rPr>
  </w:style>
  <w:style w:type="paragraph" w:customStyle="1" w:styleId="141">
    <w:name w:val="目次、标准名称标题"/>
    <w:basedOn w:val="142"/>
    <w:next w:val="142"/>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42">
    <w:name w:val="投标正文"/>
    <w:basedOn w:val="143"/>
    <w:qFormat/>
    <w:uiPriority w:val="0"/>
    <w:pPr>
      <w:spacing w:line="360" w:lineRule="auto"/>
    </w:pPr>
    <w:rPr>
      <w:spacing w:val="15"/>
      <w:sz w:val="32"/>
      <w:szCs w:val="32"/>
    </w:rPr>
  </w:style>
  <w:style w:type="paragraph" w:customStyle="1" w:styleId="143">
    <w:name w:val="四级条标题"/>
    <w:basedOn w:val="144"/>
    <w:next w:val="144"/>
    <w:qFormat/>
    <w:uiPriority w:val="0"/>
    <w:pPr>
      <w:outlineLvl w:val="5"/>
    </w:pPr>
  </w:style>
  <w:style w:type="paragraph" w:customStyle="1" w:styleId="144">
    <w:name w:val="三级条标题"/>
    <w:basedOn w:val="145"/>
    <w:next w:val="145"/>
    <w:qFormat/>
    <w:uiPriority w:val="0"/>
    <w:pPr>
      <w:outlineLvl w:val="4"/>
    </w:pPr>
  </w:style>
  <w:style w:type="paragraph" w:customStyle="1" w:styleId="145">
    <w:name w:val="二级条标题"/>
    <w:basedOn w:val="146"/>
    <w:next w:val="146"/>
    <w:qFormat/>
    <w:uiPriority w:val="0"/>
    <w:pPr>
      <w:outlineLvl w:val="3"/>
    </w:pPr>
  </w:style>
  <w:style w:type="paragraph" w:customStyle="1" w:styleId="146">
    <w:name w:val="一级条标题"/>
    <w:next w:val="9"/>
    <w:qFormat/>
    <w:uiPriority w:val="0"/>
    <w:pPr>
      <w:outlineLvl w:val="2"/>
    </w:pPr>
    <w:rPr>
      <w:rFonts w:ascii="黑体" w:hAnsi="黑体" w:eastAsia="黑体" w:cs="Times New Roman"/>
      <w:kern w:val="1"/>
      <w:sz w:val="21"/>
      <w:szCs w:val="21"/>
      <w:lang w:val="en-US" w:eastAsia="zh-CN" w:bidi="ar-SA"/>
    </w:rPr>
  </w:style>
  <w:style w:type="paragraph" w:customStyle="1" w:styleId="147">
    <w:name w:val="p15"/>
    <w:basedOn w:val="1"/>
    <w:qFormat/>
    <w:uiPriority w:val="0"/>
    <w:pPr>
      <w:widowControl/>
      <w:spacing w:after="120"/>
    </w:pPr>
    <w:rPr>
      <w:kern w:val="0"/>
      <w:szCs w:val="21"/>
    </w:rPr>
  </w:style>
  <w:style w:type="paragraph" w:customStyle="1" w:styleId="14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9">
    <w:name w:val="正  文"/>
    <w:basedOn w:val="1"/>
    <w:qFormat/>
    <w:uiPriority w:val="0"/>
    <w:pPr>
      <w:spacing w:line="360" w:lineRule="auto"/>
      <w:ind w:firstLine="200" w:firstLineChars="200"/>
    </w:pPr>
    <w:rPr>
      <w:rFonts w:ascii="宋体" w:hAnsi="Calibri"/>
      <w:sz w:val="24"/>
    </w:rPr>
  </w:style>
  <w:style w:type="paragraph" w:customStyle="1" w:styleId="150">
    <w:name w:val="列出段落11"/>
    <w:basedOn w:val="1"/>
    <w:qFormat/>
    <w:uiPriority w:val="0"/>
    <w:pPr>
      <w:ind w:firstLine="420" w:firstLineChars="200"/>
    </w:pPr>
    <w:rPr>
      <w:sz w:val="28"/>
      <w:szCs w:val="28"/>
    </w:rPr>
  </w:style>
  <w:style w:type="paragraph" w:customStyle="1" w:styleId="1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_Style 96"/>
    <w:semiHidden/>
    <w:qFormat/>
    <w:uiPriority w:val="99"/>
    <w:rPr>
      <w:rFonts w:ascii="Calibri" w:hAnsi="Calibri" w:eastAsia="宋体" w:cs="Times New Roman"/>
      <w:kern w:val="2"/>
      <w:sz w:val="21"/>
      <w:szCs w:val="24"/>
      <w:lang w:val="en-US" w:eastAsia="zh-CN"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style>
  <w:style w:type="paragraph" w:customStyle="1" w:styleId="15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8">
    <w:name w:val="引用2"/>
    <w:basedOn w:val="1"/>
    <w:next w:val="1"/>
    <w:link w:val="260"/>
    <w:qFormat/>
    <w:uiPriority w:val="0"/>
    <w:rPr>
      <w:i/>
      <w:iCs/>
      <w:color w:val="000000"/>
    </w:rPr>
  </w:style>
  <w:style w:type="paragraph" w:customStyle="1" w:styleId="15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0">
    <w:name w:val="引用1"/>
    <w:basedOn w:val="1"/>
    <w:next w:val="1"/>
    <w:link w:val="161"/>
    <w:qFormat/>
    <w:uiPriority w:val="0"/>
    <w:rPr>
      <w:i/>
      <w:iCs/>
      <w:color w:val="000000"/>
      <w:szCs w:val="22"/>
    </w:rPr>
  </w:style>
  <w:style w:type="character" w:customStyle="1" w:styleId="161">
    <w:name w:val="引用 Char4"/>
    <w:basedOn w:val="48"/>
    <w:link w:val="160"/>
    <w:qFormat/>
    <w:uiPriority w:val="0"/>
    <w:rPr>
      <w:rFonts w:ascii="Times New Roman" w:hAnsi="Times New Roman" w:eastAsia="宋体" w:cs="Times New Roman"/>
      <w:i/>
      <w:iCs/>
      <w:color w:val="000000"/>
    </w:rPr>
  </w:style>
  <w:style w:type="paragraph" w:customStyle="1" w:styleId="162">
    <w:name w:val="修订1"/>
    <w:qFormat/>
    <w:uiPriority w:val="99"/>
    <w:rPr>
      <w:rFonts w:ascii="Times New Roman" w:hAnsi="Times New Roman" w:eastAsia="宋体" w:cs="Times New Roman"/>
      <w:kern w:val="2"/>
      <w:sz w:val="21"/>
      <w:szCs w:val="24"/>
      <w:lang w:val="en-US" w:eastAsia="zh-CN" w:bidi="ar-SA"/>
    </w:rPr>
  </w:style>
  <w:style w:type="paragraph" w:customStyle="1" w:styleId="16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4">
    <w:name w:val="Char2"/>
    <w:basedOn w:val="1"/>
    <w:qFormat/>
    <w:uiPriority w:val="0"/>
    <w:rPr>
      <w:rFonts w:ascii="Calibri" w:hAnsi="Calibri"/>
    </w:rPr>
  </w:style>
  <w:style w:type="paragraph" w:customStyle="1" w:styleId="165">
    <w:name w:val="标题5"/>
    <w:basedOn w:val="5"/>
    <w:link w:val="297"/>
    <w:qFormat/>
    <w:uiPriority w:val="0"/>
    <w:pPr>
      <w:spacing w:line="413" w:lineRule="auto"/>
    </w:pPr>
    <w:rPr>
      <w:rFonts w:ascii="Arial" w:hAnsi="Arial"/>
      <w:kern w:val="0"/>
      <w:sz w:val="24"/>
    </w:rPr>
  </w:style>
  <w:style w:type="paragraph" w:customStyle="1" w:styleId="16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8">
    <w:name w:val="表格标题"/>
    <w:basedOn w:val="110"/>
    <w:qFormat/>
    <w:uiPriority w:val="0"/>
  </w:style>
  <w:style w:type="paragraph" w:customStyle="1" w:styleId="16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WW-表格标题"/>
    <w:basedOn w:val="129"/>
    <w:qFormat/>
    <w:uiPriority w:val="0"/>
  </w:style>
  <w:style w:type="paragraph" w:customStyle="1" w:styleId="17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6">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7">
    <w:name w:val="标准样式1"/>
    <w:basedOn w:val="1"/>
    <w:qFormat/>
    <w:uiPriority w:val="0"/>
    <w:pPr>
      <w:spacing w:line="600" w:lineRule="exact"/>
      <w:ind w:firstLine="567"/>
    </w:pPr>
    <w:rPr>
      <w:rFonts w:ascii="Calibri" w:hAnsi="Calibri"/>
      <w:sz w:val="28"/>
    </w:rPr>
  </w:style>
  <w:style w:type="paragraph" w:customStyle="1" w:styleId="17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9">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0">
    <w:name w:val="引用11"/>
    <w:basedOn w:val="1"/>
    <w:next w:val="1"/>
    <w:link w:val="279"/>
    <w:qFormat/>
    <w:uiPriority w:val="29"/>
    <w:rPr>
      <w:i/>
      <w:iCs/>
      <w:color w:val="000000"/>
      <w:szCs w:val="20"/>
    </w:rPr>
  </w:style>
  <w:style w:type="paragraph" w:customStyle="1" w:styleId="181">
    <w:name w:val="_Style 87"/>
    <w:basedOn w:val="1"/>
    <w:qFormat/>
    <w:uiPriority w:val="99"/>
    <w:pPr>
      <w:ind w:firstLine="420" w:firstLineChars="200"/>
    </w:pPr>
    <w:rPr>
      <w:rFonts w:ascii="Calibri" w:hAnsi="Calibri"/>
      <w:sz w:val="28"/>
      <w:szCs w:val="28"/>
    </w:rPr>
  </w:style>
  <w:style w:type="paragraph" w:customStyle="1" w:styleId="182">
    <w:name w:val="自定样式1"/>
    <w:basedOn w:val="1"/>
    <w:qFormat/>
    <w:uiPriority w:val="0"/>
    <w:pPr>
      <w:suppressAutoHyphens/>
      <w:jc w:val="center"/>
    </w:pPr>
    <w:rPr>
      <w:rFonts w:ascii="宋体" w:hAnsi="宋体"/>
      <w:color w:val="000000"/>
      <w:sz w:val="18"/>
    </w:rPr>
  </w:style>
  <w:style w:type="paragraph" w:customStyle="1" w:styleId="18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5">
    <w:name w:val="未处理的提及1"/>
    <w:unhideWhenUsed/>
    <w:qFormat/>
    <w:uiPriority w:val="99"/>
    <w:rPr>
      <w:color w:val="808080"/>
      <w:shd w:val="clear" w:color="auto" w:fill="E6E6E6"/>
    </w:rPr>
  </w:style>
  <w:style w:type="character" w:customStyle="1" w:styleId="186">
    <w:name w:val="正文文本 3 Char"/>
    <w:qFormat/>
    <w:uiPriority w:val="0"/>
    <w:rPr>
      <w:kern w:val="2"/>
      <w:sz w:val="16"/>
      <w:szCs w:val="16"/>
    </w:rPr>
  </w:style>
  <w:style w:type="character" w:customStyle="1" w:styleId="187">
    <w:name w:val="正文文本缩进 Char2"/>
    <w:semiHidden/>
    <w:qFormat/>
    <w:uiPriority w:val="99"/>
    <w:rPr>
      <w:rFonts w:ascii="Calibri" w:hAnsi="Calibri" w:eastAsia="宋体" w:cs="Times New Roman"/>
      <w:szCs w:val="24"/>
    </w:rPr>
  </w:style>
  <w:style w:type="character" w:customStyle="1" w:styleId="188">
    <w:name w:val="批注框文本 Char2"/>
    <w:qFormat/>
    <w:uiPriority w:val="99"/>
    <w:rPr>
      <w:kern w:val="2"/>
      <w:sz w:val="18"/>
      <w:szCs w:val="18"/>
    </w:rPr>
  </w:style>
  <w:style w:type="character" w:customStyle="1" w:styleId="189">
    <w:name w:val="textcontents"/>
    <w:qFormat/>
    <w:uiPriority w:val="0"/>
    <w:rPr>
      <w:rFonts w:cs="Times New Roman"/>
    </w:rPr>
  </w:style>
  <w:style w:type="character" w:customStyle="1" w:styleId="190">
    <w:name w:val="ht1"/>
    <w:qFormat/>
    <w:uiPriority w:val="0"/>
    <w:rPr>
      <w:rFonts w:ascii="黑体" w:eastAsia="黑体"/>
      <w:b/>
      <w:bCs/>
    </w:rPr>
  </w:style>
  <w:style w:type="character" w:customStyle="1" w:styleId="191">
    <w:name w:val="标题 Char"/>
    <w:qFormat/>
    <w:uiPriority w:val="0"/>
    <w:rPr>
      <w:rFonts w:ascii="Cambria" w:hAnsi="Cambria" w:eastAsia="宋体" w:cs="Times New Roman"/>
      <w:b/>
      <w:bCs/>
      <w:kern w:val="2"/>
      <w:sz w:val="32"/>
      <w:szCs w:val="32"/>
    </w:rPr>
  </w:style>
  <w:style w:type="character" w:customStyle="1" w:styleId="192">
    <w:name w:val="14t1"/>
    <w:qFormat/>
    <w:uiPriority w:val="0"/>
    <w:rPr>
      <w:rFonts w:hint="eastAsia" w:ascii="宋体" w:hAnsi="宋体" w:eastAsia="宋体"/>
      <w:sz w:val="11"/>
      <w:szCs w:val="11"/>
    </w:rPr>
  </w:style>
  <w:style w:type="character" w:customStyle="1" w:styleId="193">
    <w:name w:val="Char Char36"/>
    <w:qFormat/>
    <w:uiPriority w:val="0"/>
    <w:rPr>
      <w:rFonts w:ascii="仿宋_GB2312" w:eastAsia="仿宋_GB2312" w:cs="MingLiU"/>
      <w:b/>
      <w:sz w:val="24"/>
      <w:szCs w:val="28"/>
    </w:rPr>
  </w:style>
  <w:style w:type="character" w:customStyle="1" w:styleId="194">
    <w:name w:val="文档结构图 Char"/>
    <w:qFormat/>
    <w:uiPriority w:val="0"/>
    <w:rPr>
      <w:rFonts w:ascii="宋体"/>
      <w:kern w:val="2"/>
      <w:sz w:val="18"/>
      <w:szCs w:val="18"/>
    </w:rPr>
  </w:style>
  <w:style w:type="character" w:customStyle="1" w:styleId="195">
    <w:name w:val="普通文字 Char Char2"/>
    <w:qFormat/>
    <w:uiPriority w:val="0"/>
    <w:rPr>
      <w:rFonts w:ascii="宋体" w:hAnsi="Courier New"/>
      <w:kern w:val="2"/>
      <w:sz w:val="28"/>
      <w:szCs w:val="28"/>
    </w:rPr>
  </w:style>
  <w:style w:type="character" w:customStyle="1" w:styleId="196">
    <w:name w:val="HTML 预设格式 Char"/>
    <w:qFormat/>
    <w:uiPriority w:val="0"/>
    <w:rPr>
      <w:rFonts w:ascii="宋体" w:hAnsi="宋体" w:eastAsia="宋体" w:cs="宋体"/>
      <w:color w:val="000000"/>
      <w:sz w:val="24"/>
      <w:szCs w:val="24"/>
    </w:rPr>
  </w:style>
  <w:style w:type="character" w:customStyle="1" w:styleId="197">
    <w:name w:val="纯文本 Char"/>
    <w:qFormat/>
    <w:uiPriority w:val="0"/>
    <w:rPr>
      <w:rFonts w:ascii="宋体" w:hAnsi="Courier New"/>
      <w:sz w:val="28"/>
      <w:szCs w:val="28"/>
    </w:rPr>
  </w:style>
  <w:style w:type="character" w:customStyle="1" w:styleId="198">
    <w:name w:val="批注框文本 Char"/>
    <w:qFormat/>
    <w:uiPriority w:val="0"/>
    <w:rPr>
      <w:sz w:val="18"/>
      <w:szCs w:val="18"/>
    </w:rPr>
  </w:style>
  <w:style w:type="character" w:customStyle="1" w:styleId="199">
    <w:name w:val="页脚 Char"/>
    <w:qFormat/>
    <w:uiPriority w:val="0"/>
    <w:rPr>
      <w:sz w:val="18"/>
      <w:szCs w:val="18"/>
    </w:rPr>
  </w:style>
  <w:style w:type="character" w:customStyle="1" w:styleId="200">
    <w:name w:val="正文文本缩进 3 Char"/>
    <w:qFormat/>
    <w:uiPriority w:val="0"/>
    <w:rPr>
      <w:kern w:val="2"/>
      <w:sz w:val="16"/>
      <w:szCs w:val="16"/>
    </w:rPr>
  </w:style>
  <w:style w:type="character" w:customStyle="1" w:styleId="201">
    <w:name w:val="标题 8 Char"/>
    <w:qFormat/>
    <w:uiPriority w:val="0"/>
    <w:rPr>
      <w:rFonts w:ascii="Arial" w:hAnsi="Arial" w:eastAsia="黑体" w:cs="Times New Roman"/>
      <w:sz w:val="24"/>
      <w:szCs w:val="24"/>
    </w:rPr>
  </w:style>
  <w:style w:type="character" w:customStyle="1" w:styleId="202">
    <w:name w:val="正文文本缩进 2 Char1"/>
    <w:qFormat/>
    <w:uiPriority w:val="0"/>
    <w:rPr>
      <w:sz w:val="28"/>
      <w:szCs w:val="24"/>
    </w:rPr>
  </w:style>
  <w:style w:type="character" w:customStyle="1" w:styleId="203">
    <w:name w:val="标题 5 Char1"/>
    <w:qFormat/>
    <w:uiPriority w:val="0"/>
    <w:rPr>
      <w:rFonts w:ascii="宋体" w:hAnsi="宋体" w:eastAsia="宋体" w:cs="宋体"/>
      <w:b/>
      <w:bCs/>
      <w:sz w:val="20"/>
      <w:szCs w:val="20"/>
    </w:rPr>
  </w:style>
  <w:style w:type="character" w:customStyle="1" w:styleId="204">
    <w:name w:val="批注文字 Char"/>
    <w:qFormat/>
    <w:uiPriority w:val="0"/>
    <w:rPr>
      <w:rFonts w:ascii="Times New Roman" w:hAnsi="Times New Roman" w:eastAsia="宋体" w:cs="Times New Roman"/>
      <w:kern w:val="2"/>
      <w:sz w:val="21"/>
      <w:szCs w:val="24"/>
    </w:rPr>
  </w:style>
  <w:style w:type="character" w:customStyle="1" w:styleId="205">
    <w:name w:val="style121"/>
    <w:qFormat/>
    <w:uiPriority w:val="0"/>
    <w:rPr>
      <w:rFonts w:hint="eastAsia" w:ascii="宋体" w:hAnsi="宋体" w:eastAsia="宋体"/>
      <w:sz w:val="18"/>
      <w:szCs w:val="18"/>
    </w:rPr>
  </w:style>
  <w:style w:type="character" w:customStyle="1" w:styleId="206">
    <w:name w:val="Section Char"/>
    <w:qFormat/>
    <w:uiPriority w:val="0"/>
    <w:rPr>
      <w:rFonts w:ascii="仿宋_GB2312" w:eastAsia="仿宋_GB2312" w:cs="MingLiU"/>
      <w:b/>
      <w:sz w:val="24"/>
      <w:szCs w:val="28"/>
      <w:lang w:val="en-US" w:eastAsia="zh-CN" w:bidi="ar-SA"/>
    </w:rPr>
  </w:style>
  <w:style w:type="character" w:customStyle="1" w:styleId="207">
    <w:name w:val="正文文本 3 Char1"/>
    <w:qFormat/>
    <w:uiPriority w:val="0"/>
    <w:rPr>
      <w:kern w:val="2"/>
      <w:sz w:val="16"/>
      <w:szCs w:val="16"/>
    </w:rPr>
  </w:style>
  <w:style w:type="character" w:customStyle="1" w:styleId="208">
    <w:name w:val="文档结构图 Char1"/>
    <w:qFormat/>
    <w:uiPriority w:val="0"/>
    <w:rPr>
      <w:rFonts w:ascii="宋体"/>
      <w:kern w:val="2"/>
      <w:sz w:val="18"/>
      <w:szCs w:val="18"/>
    </w:rPr>
  </w:style>
  <w:style w:type="character" w:customStyle="1" w:styleId="209">
    <w:name w:val="标题 9 Char"/>
    <w:qFormat/>
    <w:uiPriority w:val="0"/>
    <w:rPr>
      <w:rFonts w:ascii="Arial" w:hAnsi="Arial" w:eastAsia="黑体" w:cs="Times New Roman"/>
      <w:szCs w:val="21"/>
    </w:rPr>
  </w:style>
  <w:style w:type="character" w:customStyle="1" w:styleId="210">
    <w:name w:val="页眉 Char1"/>
    <w:semiHidden/>
    <w:qFormat/>
    <w:uiPriority w:val="99"/>
    <w:rPr>
      <w:kern w:val="2"/>
      <w:sz w:val="18"/>
      <w:szCs w:val="18"/>
    </w:rPr>
  </w:style>
  <w:style w:type="character" w:customStyle="1" w:styleId="211">
    <w:name w:val="Char Char35"/>
    <w:qFormat/>
    <w:uiPriority w:val="0"/>
    <w:rPr>
      <w:rFonts w:ascii="仿宋_GB2312" w:eastAsia="仿宋_GB2312" w:cs="MingLiU"/>
      <w:b/>
      <w:sz w:val="24"/>
      <w:szCs w:val="28"/>
    </w:rPr>
  </w:style>
  <w:style w:type="character" w:customStyle="1" w:styleId="212">
    <w:name w:val="日期 Char2"/>
    <w:qFormat/>
    <w:uiPriority w:val="99"/>
    <w:rPr>
      <w:kern w:val="2"/>
      <w:sz w:val="21"/>
      <w:szCs w:val="24"/>
    </w:rPr>
  </w:style>
  <w:style w:type="character" w:customStyle="1" w:styleId="213">
    <w:name w:val="Char Char22"/>
    <w:qFormat/>
    <w:uiPriority w:val="0"/>
    <w:rPr>
      <w:b/>
      <w:bCs/>
      <w:kern w:val="2"/>
      <w:sz w:val="32"/>
      <w:szCs w:val="32"/>
    </w:rPr>
  </w:style>
  <w:style w:type="character" w:customStyle="1" w:styleId="214">
    <w:name w:val="正文文本缩进 2 Char2"/>
    <w:semiHidden/>
    <w:qFormat/>
    <w:uiPriority w:val="99"/>
    <w:rPr>
      <w:rFonts w:ascii="Calibri" w:hAnsi="Calibri" w:eastAsia="宋体" w:cs="Times New Roman"/>
      <w:szCs w:val="24"/>
    </w:rPr>
  </w:style>
  <w:style w:type="character" w:customStyle="1" w:styleId="215">
    <w:name w:val="明显强调1"/>
    <w:qFormat/>
    <w:uiPriority w:val="0"/>
    <w:rPr>
      <w:b/>
      <w:bCs/>
      <w:i/>
      <w:iCs/>
      <w:color w:val="4F81BD"/>
    </w:rPr>
  </w:style>
  <w:style w:type="character" w:customStyle="1" w:styleId="216">
    <w:name w:val="Char Char14"/>
    <w:qFormat/>
    <w:uiPriority w:val="0"/>
    <w:rPr>
      <w:kern w:val="2"/>
      <w:sz w:val="18"/>
      <w:szCs w:val="18"/>
    </w:rPr>
  </w:style>
  <w:style w:type="character" w:customStyle="1" w:styleId="217">
    <w:name w:val="s3"/>
    <w:qFormat/>
    <w:uiPriority w:val="0"/>
  </w:style>
  <w:style w:type="character" w:customStyle="1" w:styleId="218">
    <w:name w:val="标题 1 Char"/>
    <w:qFormat/>
    <w:uiPriority w:val="0"/>
    <w:rPr>
      <w:rFonts w:ascii="Times New Roman" w:hAnsi="Times New Roman" w:eastAsia="宋体" w:cs="Times New Roman"/>
      <w:b/>
      <w:bCs/>
      <w:kern w:val="44"/>
      <w:sz w:val="44"/>
      <w:szCs w:val="44"/>
    </w:rPr>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标题 2 Char"/>
    <w:qFormat/>
    <w:uiPriority w:val="0"/>
    <w:rPr>
      <w:rFonts w:ascii="仿宋_GB2312" w:hAnsi="Calibri" w:eastAsia="仿宋_GB2312" w:cs="Times New Roman"/>
      <w:b/>
      <w:spacing w:val="1"/>
      <w:w w:val="99"/>
      <w:kern w:val="0"/>
      <w:sz w:val="28"/>
      <w:szCs w:val="32"/>
    </w:rPr>
  </w:style>
  <w:style w:type="character" w:customStyle="1" w:styleId="225">
    <w:name w:val="l1"/>
    <w:basedOn w:val="48"/>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48"/>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8"/>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6"/>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48"/>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48"/>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80"/>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5"/>
    <w:qFormat/>
    <w:uiPriority w:val="0"/>
    <w:rPr>
      <w:rFonts w:ascii="Arial" w:hAnsi="Arial" w:eastAsia="宋体" w:cs="Times New Roman"/>
      <w:b/>
      <w:bCs/>
      <w:kern w:val="0"/>
      <w:sz w:val="24"/>
      <w:szCs w:val="32"/>
    </w:rPr>
  </w:style>
  <w:style w:type="character" w:customStyle="1" w:styleId="298">
    <w:name w:val="标题4 Char Char"/>
    <w:link w:val="125"/>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48"/>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2">
    <w:name w:val="占位符文本1"/>
    <w:basedOn w:val="48"/>
    <w:semiHidden/>
    <w:qFormat/>
    <w:uiPriority w:val="99"/>
    <w:rPr>
      <w:color w:val="808080"/>
    </w:rPr>
  </w:style>
  <w:style w:type="character" w:customStyle="1" w:styleId="323">
    <w:name w:val="datetime"/>
    <w:basedOn w:val="48"/>
    <w:qFormat/>
    <w:uiPriority w:val="0"/>
    <w:rPr>
      <w:color w:val="808080"/>
      <w:sz w:val="21"/>
      <w:szCs w:val="21"/>
    </w:rPr>
  </w:style>
  <w:style w:type="character" w:customStyle="1" w:styleId="324">
    <w:name w:val="datetime1"/>
    <w:basedOn w:val="48"/>
    <w:qFormat/>
    <w:uiPriority w:val="0"/>
  </w:style>
  <w:style w:type="character" w:customStyle="1" w:styleId="325">
    <w:name w:val="datetime2"/>
    <w:basedOn w:val="48"/>
    <w:qFormat/>
    <w:uiPriority w:val="0"/>
  </w:style>
  <w:style w:type="character" w:customStyle="1" w:styleId="326">
    <w:name w:val="datetime3"/>
    <w:basedOn w:val="48"/>
    <w:qFormat/>
    <w:uiPriority w:val="0"/>
  </w:style>
  <w:style w:type="character" w:customStyle="1" w:styleId="327">
    <w:name w:val="datetime4"/>
    <w:basedOn w:val="48"/>
    <w:qFormat/>
    <w:uiPriority w:val="0"/>
    <w:rPr>
      <w:color w:val="808080"/>
      <w:sz w:val="21"/>
      <w:szCs w:val="21"/>
    </w:rPr>
  </w:style>
  <w:style w:type="character" w:customStyle="1" w:styleId="328">
    <w:name w:val="cldh_img"/>
    <w:basedOn w:val="48"/>
    <w:qFormat/>
    <w:uiPriority w:val="0"/>
  </w:style>
  <w:style w:type="character" w:customStyle="1" w:styleId="329">
    <w:name w:val="cldh_img1"/>
    <w:basedOn w:val="48"/>
    <w:qFormat/>
    <w:uiPriority w:val="0"/>
  </w:style>
  <w:style w:type="character" w:customStyle="1" w:styleId="330">
    <w:name w:val="cldh_img2"/>
    <w:basedOn w:val="48"/>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48"/>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48"/>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181</Pages>
  <Words>99194</Words>
  <Characters>104242</Characters>
  <Lines>854</Lines>
  <Paragraphs>240</Paragraphs>
  <TotalTime>2</TotalTime>
  <ScaleCrop>false</ScaleCrop>
  <LinksUpToDate>false</LinksUpToDate>
  <CharactersWithSpaces>118746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投资咨询公司</cp:lastModifiedBy>
  <cp:lastPrinted>2023-06-09T06:54:00Z</cp:lastPrinted>
  <dcterms:modified xsi:type="dcterms:W3CDTF">2023-10-12T06:48:21Z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A9D86AE46CB3488386100D1CD356DC95_13</vt:lpwstr>
  </property>
</Properties>
</file>